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00D90" w14:textId="6A100BF4" w:rsidR="00C5555F" w:rsidRPr="00360044" w:rsidRDefault="00E01046" w:rsidP="00E01046">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Pr>
          <w:noProof/>
        </w:rPr>
        <w:drawing>
          <wp:inline distT="0" distB="0" distL="0" distR="0" wp14:anchorId="264E8AA1" wp14:editId="2E2908B3">
            <wp:extent cx="2072005" cy="402590"/>
            <wp:effectExtent l="0" t="0" r="4445" b="0"/>
            <wp:docPr id="6618771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2005" cy="402590"/>
                    </a:xfrm>
                    <a:prstGeom prst="rect">
                      <a:avLst/>
                    </a:prstGeom>
                    <a:noFill/>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4053BD5" w14:textId="77777777" w:rsidR="00C5555F" w:rsidRPr="00360044" w:rsidRDefault="00C5555F" w:rsidP="00825A5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24"/>
          <w:szCs w:val="24"/>
        </w:rPr>
      </w:pPr>
    </w:p>
    <w:p w14:paraId="61150840" w14:textId="77777777" w:rsidR="00C5555F" w:rsidRPr="00E01046" w:rsidRDefault="00C5555F" w:rsidP="00825A5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16"/>
          <w:szCs w:val="16"/>
        </w:rPr>
      </w:pPr>
    </w:p>
    <w:p w14:paraId="7EEA642D" w14:textId="77777777" w:rsidR="00C5555F" w:rsidRPr="00E01046" w:rsidRDefault="00C5555F" w:rsidP="00825A5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sz w:val="16"/>
          <w:szCs w:val="16"/>
        </w:rPr>
      </w:pPr>
    </w:p>
    <w:p w14:paraId="2E337D2F" w14:textId="332C9296" w:rsidR="002635E5" w:rsidRDefault="00E01046"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r w:rsidRPr="00E01046">
        <w:rPr>
          <w:rFonts w:ascii="Calibri" w:hAnsi="Calibri" w:cs="Calibri"/>
          <w:sz w:val="16"/>
          <w:szCs w:val="16"/>
        </w:rPr>
        <w:t>Załącznik do Uchwały</w:t>
      </w:r>
      <w:r w:rsidR="002635E5">
        <w:rPr>
          <w:rFonts w:ascii="Calibri" w:hAnsi="Calibri" w:cs="Calibri"/>
          <w:sz w:val="16"/>
          <w:szCs w:val="16"/>
        </w:rPr>
        <w:t xml:space="preserve"> nr</w:t>
      </w:r>
      <w:r w:rsidR="002635E5" w:rsidRPr="002635E5">
        <w:t xml:space="preserve"> </w:t>
      </w:r>
      <w:r w:rsidR="002635E5" w:rsidRPr="002635E5">
        <w:rPr>
          <w:rFonts w:ascii="Calibri" w:hAnsi="Calibri" w:cs="Calibri"/>
          <w:sz w:val="16"/>
          <w:szCs w:val="16"/>
        </w:rPr>
        <w:t>7/24/05/2026</w:t>
      </w:r>
      <w:r w:rsidR="002635E5">
        <w:rPr>
          <w:rFonts w:ascii="Calibri" w:hAnsi="Calibri" w:cs="Calibri"/>
          <w:sz w:val="16"/>
          <w:szCs w:val="16"/>
        </w:rPr>
        <w:t xml:space="preserve"> </w:t>
      </w:r>
    </w:p>
    <w:p w14:paraId="0E2517F5" w14:textId="500058DC" w:rsidR="00E01046" w:rsidRPr="00E01046" w:rsidRDefault="00E01046"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r w:rsidRPr="00E01046">
        <w:rPr>
          <w:rFonts w:ascii="Calibri" w:hAnsi="Calibri" w:cs="Calibri"/>
          <w:sz w:val="16"/>
          <w:szCs w:val="16"/>
        </w:rPr>
        <w:t xml:space="preserve"> Zarządu Banku Spółdzielczego w Żywcu</w:t>
      </w:r>
    </w:p>
    <w:p w14:paraId="68123890" w14:textId="6DC54303" w:rsidR="00E01046" w:rsidRPr="00E01046" w:rsidRDefault="002635E5"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r>
        <w:rPr>
          <w:rFonts w:ascii="Calibri" w:hAnsi="Calibri" w:cs="Calibri"/>
          <w:sz w:val="16"/>
          <w:szCs w:val="16"/>
        </w:rPr>
        <w:t>z</w:t>
      </w:r>
      <w:r w:rsidR="00E01046" w:rsidRPr="00E01046">
        <w:rPr>
          <w:rFonts w:ascii="Calibri" w:hAnsi="Calibri" w:cs="Calibri"/>
          <w:sz w:val="16"/>
          <w:szCs w:val="16"/>
        </w:rPr>
        <w:t xml:space="preserve"> dni</w:t>
      </w:r>
      <w:r>
        <w:rPr>
          <w:rFonts w:ascii="Calibri" w:hAnsi="Calibri" w:cs="Calibri"/>
          <w:sz w:val="16"/>
          <w:szCs w:val="16"/>
        </w:rPr>
        <w:t>a</w:t>
      </w:r>
      <w:r w:rsidR="00E01046" w:rsidRPr="00E01046">
        <w:rPr>
          <w:rFonts w:ascii="Calibri" w:hAnsi="Calibri" w:cs="Calibri"/>
          <w:sz w:val="16"/>
          <w:szCs w:val="16"/>
        </w:rPr>
        <w:t xml:space="preserve"> 12.05.2026r.</w:t>
      </w:r>
    </w:p>
    <w:p w14:paraId="361DC578" w14:textId="77777777" w:rsidR="00E01046" w:rsidRPr="00E01046" w:rsidRDefault="00E01046"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p>
    <w:p w14:paraId="3885E91F" w14:textId="7BCCD96B" w:rsidR="002635E5" w:rsidRDefault="00E01046"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r w:rsidRPr="00E01046">
        <w:rPr>
          <w:rFonts w:ascii="Calibri" w:hAnsi="Calibri" w:cs="Calibri"/>
          <w:sz w:val="16"/>
          <w:szCs w:val="16"/>
        </w:rPr>
        <w:t>Załącznik do Uchwały</w:t>
      </w:r>
      <w:r w:rsidR="002635E5">
        <w:rPr>
          <w:rFonts w:ascii="Calibri" w:hAnsi="Calibri" w:cs="Calibri"/>
          <w:sz w:val="16"/>
          <w:szCs w:val="16"/>
        </w:rPr>
        <w:t xml:space="preserve"> nr </w:t>
      </w:r>
      <w:r w:rsidR="002635E5" w:rsidRPr="002635E5">
        <w:rPr>
          <w:rFonts w:ascii="Calibri" w:hAnsi="Calibri" w:cs="Calibri"/>
          <w:sz w:val="16"/>
          <w:szCs w:val="16"/>
        </w:rPr>
        <w:t>10/4/05/2026</w:t>
      </w:r>
    </w:p>
    <w:p w14:paraId="508FB12E" w14:textId="7CBDD0A8" w:rsidR="00E01046" w:rsidRPr="00E01046" w:rsidRDefault="00E01046"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r w:rsidRPr="00E01046">
        <w:rPr>
          <w:rFonts w:ascii="Calibri" w:hAnsi="Calibri" w:cs="Calibri"/>
          <w:sz w:val="16"/>
          <w:szCs w:val="16"/>
        </w:rPr>
        <w:t xml:space="preserve"> Rady Nadzorczej Banku Spółdzielczego w Żywcu</w:t>
      </w:r>
    </w:p>
    <w:p w14:paraId="338D22EE" w14:textId="3B60140D" w:rsidR="00E01046" w:rsidRPr="00E01046" w:rsidRDefault="002635E5"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r>
        <w:rPr>
          <w:rFonts w:ascii="Calibri" w:hAnsi="Calibri" w:cs="Calibri"/>
          <w:sz w:val="16"/>
          <w:szCs w:val="16"/>
        </w:rPr>
        <w:t>z</w:t>
      </w:r>
      <w:r w:rsidR="00E01046" w:rsidRPr="00E01046">
        <w:rPr>
          <w:rFonts w:ascii="Calibri" w:hAnsi="Calibri" w:cs="Calibri"/>
          <w:sz w:val="16"/>
          <w:szCs w:val="16"/>
        </w:rPr>
        <w:t xml:space="preserve"> dni</w:t>
      </w:r>
      <w:r>
        <w:rPr>
          <w:rFonts w:ascii="Calibri" w:hAnsi="Calibri" w:cs="Calibri"/>
          <w:sz w:val="16"/>
          <w:szCs w:val="16"/>
        </w:rPr>
        <w:t>a</w:t>
      </w:r>
      <w:r w:rsidR="00E01046" w:rsidRPr="00E01046">
        <w:rPr>
          <w:rFonts w:ascii="Calibri" w:hAnsi="Calibri" w:cs="Calibri"/>
          <w:sz w:val="16"/>
          <w:szCs w:val="16"/>
        </w:rPr>
        <w:t xml:space="preserve"> 15.05.2026r.</w:t>
      </w:r>
    </w:p>
    <w:p w14:paraId="12917920" w14:textId="77777777" w:rsidR="00E01046" w:rsidRPr="00E01046" w:rsidRDefault="00E01046" w:rsidP="00E01046">
      <w:pPr>
        <w:pBdr>
          <w:top w:val="single" w:sz="4" w:space="1" w:color="auto"/>
          <w:left w:val="single" w:sz="4" w:space="4" w:color="auto"/>
          <w:bottom w:val="single" w:sz="4" w:space="1" w:color="auto"/>
          <w:right w:val="single" w:sz="4" w:space="4" w:color="auto"/>
        </w:pBdr>
        <w:spacing w:after="0" w:line="360" w:lineRule="auto"/>
        <w:jc w:val="right"/>
        <w:rPr>
          <w:rFonts w:ascii="Calibri" w:hAnsi="Calibri" w:cs="Calibri"/>
          <w:sz w:val="16"/>
          <w:szCs w:val="16"/>
        </w:rPr>
      </w:pPr>
    </w:p>
    <w:p w14:paraId="0F68AD5F" w14:textId="164556DD" w:rsidR="00482D31" w:rsidRPr="001562EB" w:rsidRDefault="00F874FF" w:rsidP="00825A59">
      <w:pPr>
        <w:pBdr>
          <w:top w:val="single" w:sz="4" w:space="1" w:color="auto"/>
          <w:left w:val="single" w:sz="4" w:space="4" w:color="auto"/>
          <w:bottom w:val="single" w:sz="4" w:space="1" w:color="auto"/>
          <w:right w:val="single" w:sz="4" w:space="4" w:color="auto"/>
        </w:pBdr>
        <w:spacing w:after="0" w:line="360" w:lineRule="auto"/>
        <w:jc w:val="center"/>
        <w:rPr>
          <w:rFonts w:ascii="Poppins" w:hAnsi="Poppins" w:cs="Poppins"/>
          <w:b/>
          <w:sz w:val="36"/>
          <w:szCs w:val="36"/>
        </w:rPr>
      </w:pPr>
      <w:r>
        <w:rPr>
          <w:rFonts w:ascii="Poppins" w:hAnsi="Poppins" w:cs="Poppins"/>
          <w:b/>
          <w:sz w:val="36"/>
          <w:szCs w:val="36"/>
        </w:rPr>
        <w:t xml:space="preserve">Ujawnienia informacji dotyczących adekwatności kapitałowej oraz innych informacji </w:t>
      </w:r>
    </w:p>
    <w:p w14:paraId="3DCFDE0B" w14:textId="357BFF7E" w:rsidR="00236DB6" w:rsidRPr="001562EB" w:rsidRDefault="00FB4D04" w:rsidP="00825A59">
      <w:pPr>
        <w:pBdr>
          <w:top w:val="single" w:sz="4" w:space="1" w:color="auto"/>
          <w:left w:val="single" w:sz="4" w:space="4" w:color="auto"/>
          <w:bottom w:val="single" w:sz="4" w:space="1" w:color="auto"/>
          <w:right w:val="single" w:sz="4" w:space="4" w:color="auto"/>
        </w:pBdr>
        <w:spacing w:after="0" w:line="360" w:lineRule="auto"/>
        <w:jc w:val="center"/>
        <w:rPr>
          <w:rFonts w:ascii="Poppins" w:hAnsi="Poppins" w:cs="Poppins"/>
          <w:b/>
          <w:sz w:val="36"/>
          <w:szCs w:val="36"/>
        </w:rPr>
      </w:pPr>
      <w:r w:rsidRPr="001562EB">
        <w:rPr>
          <w:rFonts w:ascii="Poppins" w:hAnsi="Poppins" w:cs="Poppins"/>
          <w:b/>
          <w:sz w:val="36"/>
          <w:szCs w:val="36"/>
        </w:rPr>
        <w:t xml:space="preserve">Banku Spółdzielczego w </w:t>
      </w:r>
      <w:r w:rsidR="00C21484" w:rsidRPr="001562EB">
        <w:rPr>
          <w:rFonts w:ascii="Poppins" w:hAnsi="Poppins" w:cs="Poppins"/>
          <w:b/>
          <w:sz w:val="36"/>
          <w:szCs w:val="36"/>
        </w:rPr>
        <w:t>Ż</w:t>
      </w:r>
      <w:r w:rsidR="00D405AC" w:rsidRPr="001562EB">
        <w:rPr>
          <w:rFonts w:ascii="Poppins" w:hAnsi="Poppins" w:cs="Poppins"/>
          <w:b/>
          <w:sz w:val="36"/>
          <w:szCs w:val="36"/>
        </w:rPr>
        <w:t>ywcu</w:t>
      </w:r>
    </w:p>
    <w:p w14:paraId="6A861F3D" w14:textId="5FAC5515" w:rsidR="00482D31" w:rsidRPr="001562EB" w:rsidRDefault="005549A7" w:rsidP="00825A59">
      <w:pPr>
        <w:pBdr>
          <w:top w:val="single" w:sz="4" w:space="1" w:color="auto"/>
          <w:left w:val="single" w:sz="4" w:space="4" w:color="auto"/>
          <w:bottom w:val="single" w:sz="4" w:space="1" w:color="auto"/>
          <w:right w:val="single" w:sz="4" w:space="4" w:color="auto"/>
        </w:pBdr>
        <w:spacing w:after="0" w:line="360" w:lineRule="auto"/>
        <w:jc w:val="center"/>
        <w:rPr>
          <w:rFonts w:ascii="Poppins" w:hAnsi="Poppins" w:cs="Poppins"/>
          <w:b/>
          <w:sz w:val="36"/>
          <w:szCs w:val="36"/>
        </w:rPr>
      </w:pPr>
      <w:r>
        <w:rPr>
          <w:rFonts w:ascii="Poppins" w:hAnsi="Poppins" w:cs="Poppins"/>
          <w:b/>
          <w:sz w:val="36"/>
          <w:szCs w:val="36"/>
        </w:rPr>
        <w:t>p</w:t>
      </w:r>
      <w:r w:rsidR="00F874FF">
        <w:rPr>
          <w:rFonts w:ascii="Poppins" w:hAnsi="Poppins" w:cs="Poppins"/>
          <w:b/>
          <w:sz w:val="36"/>
          <w:szCs w:val="36"/>
        </w:rPr>
        <w:t xml:space="preserve">odlegających ogłoszeniu </w:t>
      </w:r>
    </w:p>
    <w:p w14:paraId="36695FCC" w14:textId="48FBD38D" w:rsidR="007A0BD9" w:rsidRPr="001562EB" w:rsidRDefault="00FB4D04" w:rsidP="00825A59">
      <w:pPr>
        <w:pBdr>
          <w:top w:val="single" w:sz="4" w:space="1" w:color="auto"/>
          <w:left w:val="single" w:sz="4" w:space="4" w:color="auto"/>
          <w:bottom w:val="single" w:sz="4" w:space="1" w:color="auto"/>
          <w:right w:val="single" w:sz="4" w:space="4" w:color="auto"/>
        </w:pBdr>
        <w:spacing w:after="0" w:line="360" w:lineRule="auto"/>
        <w:jc w:val="center"/>
        <w:rPr>
          <w:rFonts w:ascii="Poppins" w:hAnsi="Poppins" w:cs="Poppins"/>
          <w:b/>
          <w:sz w:val="36"/>
          <w:szCs w:val="36"/>
        </w:rPr>
      </w:pPr>
      <w:r w:rsidRPr="001562EB">
        <w:rPr>
          <w:rFonts w:ascii="Poppins" w:hAnsi="Poppins" w:cs="Poppins"/>
          <w:b/>
          <w:sz w:val="36"/>
          <w:szCs w:val="36"/>
        </w:rPr>
        <w:t xml:space="preserve">według stanu na </w:t>
      </w:r>
      <w:r w:rsidR="00AA6781" w:rsidRPr="001562EB">
        <w:rPr>
          <w:rFonts w:ascii="Poppins" w:hAnsi="Poppins" w:cs="Poppins"/>
          <w:b/>
          <w:sz w:val="36"/>
          <w:szCs w:val="36"/>
        </w:rPr>
        <w:t>31.12.202</w:t>
      </w:r>
      <w:r w:rsidR="00F874FF">
        <w:rPr>
          <w:rFonts w:ascii="Poppins" w:hAnsi="Poppins" w:cs="Poppins"/>
          <w:b/>
          <w:sz w:val="36"/>
          <w:szCs w:val="36"/>
        </w:rPr>
        <w:t>5</w:t>
      </w:r>
      <w:r w:rsidR="00133B2D">
        <w:rPr>
          <w:rFonts w:ascii="Poppins" w:hAnsi="Poppins" w:cs="Poppins"/>
          <w:b/>
          <w:sz w:val="36"/>
          <w:szCs w:val="36"/>
        </w:rPr>
        <w:t xml:space="preserve"> </w:t>
      </w:r>
      <w:r w:rsidRPr="001562EB">
        <w:rPr>
          <w:rFonts w:ascii="Poppins" w:hAnsi="Poppins" w:cs="Poppins"/>
          <w:b/>
          <w:sz w:val="36"/>
          <w:szCs w:val="36"/>
        </w:rPr>
        <w:t>roku</w:t>
      </w:r>
    </w:p>
    <w:p w14:paraId="038CD986" w14:textId="77777777" w:rsidR="006B2447" w:rsidRPr="001562EB" w:rsidRDefault="006B2447" w:rsidP="00825A59">
      <w:pPr>
        <w:pBdr>
          <w:top w:val="single" w:sz="4" w:space="1" w:color="auto"/>
          <w:left w:val="single" w:sz="4" w:space="4" w:color="auto"/>
          <w:bottom w:val="single" w:sz="4" w:space="1" w:color="auto"/>
          <w:right w:val="single" w:sz="4" w:space="4" w:color="auto"/>
        </w:pBdr>
        <w:spacing w:after="0" w:line="360" w:lineRule="auto"/>
        <w:rPr>
          <w:rFonts w:ascii="Poppins" w:hAnsi="Poppins" w:cs="Poppins"/>
          <w:sz w:val="36"/>
          <w:szCs w:val="36"/>
        </w:rPr>
      </w:pPr>
    </w:p>
    <w:p w14:paraId="29A3245B" w14:textId="77777777" w:rsidR="000E3D0F" w:rsidRPr="00360044"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72B68CB3" w14:textId="77777777" w:rsidR="000E3D0F" w:rsidRPr="00360044"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6040A078" w14:textId="77777777" w:rsidR="000E3D0F" w:rsidRPr="00360044"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31D7F47B" w14:textId="77777777" w:rsidR="000E3D0F"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70A290DF" w14:textId="77777777" w:rsidR="008460C7" w:rsidRPr="00360044" w:rsidRDefault="008460C7"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5BD09642" w14:textId="77777777" w:rsidR="000E3D0F" w:rsidRPr="00360044"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6C21488D" w14:textId="77777777" w:rsidR="000E3D0F" w:rsidRPr="00360044"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53E93C9D" w14:textId="77777777" w:rsidR="000E3D0F" w:rsidRPr="00360044"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35C72263" w14:textId="77777777" w:rsidR="000E3D0F" w:rsidRPr="00360044" w:rsidRDefault="000E3D0F" w:rsidP="00825A59">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p>
    <w:p w14:paraId="337EF127" w14:textId="77777777" w:rsidR="00236DB6" w:rsidRPr="00360044" w:rsidRDefault="00236DB6" w:rsidP="00825A59">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4"/>
          <w:szCs w:val="24"/>
        </w:rPr>
      </w:pPr>
      <w:r w:rsidRPr="00360044">
        <w:rPr>
          <w:rFonts w:ascii="Times New Roman" w:hAnsi="Times New Roman" w:cs="Times New Roman"/>
          <w:sz w:val="24"/>
          <w:szCs w:val="24"/>
        </w:rPr>
        <w:br w:type="page"/>
      </w:r>
    </w:p>
    <w:p w14:paraId="08688339" w14:textId="1E349EE1" w:rsidR="00E407D5" w:rsidRDefault="00E407D5" w:rsidP="00825A59">
      <w:pPr>
        <w:pStyle w:val="Akapitzlist"/>
        <w:spacing w:after="0" w:line="360" w:lineRule="auto"/>
        <w:ind w:left="426"/>
        <w:rPr>
          <w:rFonts w:ascii="Times New Roman" w:hAnsi="Times New Roman" w:cs="Times New Roman"/>
          <w:sz w:val="24"/>
          <w:szCs w:val="24"/>
        </w:rPr>
      </w:pPr>
    </w:p>
    <w:p w14:paraId="66B0D19B" w14:textId="32DFA5F8" w:rsidR="00D56DDD" w:rsidRPr="005549A7" w:rsidRDefault="00D56DDD" w:rsidP="00825A59">
      <w:pPr>
        <w:autoSpaceDE w:val="0"/>
        <w:autoSpaceDN w:val="0"/>
        <w:adjustRightInd w:val="0"/>
        <w:spacing w:after="0" w:line="360" w:lineRule="auto"/>
        <w:rPr>
          <w:rFonts w:cstheme="minorHAnsi"/>
          <w:b/>
          <w:bCs/>
          <w:color w:val="000000"/>
          <w:sz w:val="24"/>
          <w:szCs w:val="24"/>
        </w:rPr>
      </w:pPr>
      <w:r w:rsidRPr="005549A7">
        <w:rPr>
          <w:rFonts w:cstheme="minorHAnsi"/>
          <w:b/>
          <w:bCs/>
          <w:color w:val="000000"/>
          <w:sz w:val="24"/>
          <w:szCs w:val="24"/>
        </w:rPr>
        <w:t xml:space="preserve">Wprowadzenie </w:t>
      </w:r>
    </w:p>
    <w:p w14:paraId="48EEDFE1" w14:textId="77777777" w:rsidR="00D56DDD" w:rsidRPr="005549A7" w:rsidRDefault="00D56DDD" w:rsidP="00825A59">
      <w:pPr>
        <w:autoSpaceDE w:val="0"/>
        <w:autoSpaceDN w:val="0"/>
        <w:adjustRightInd w:val="0"/>
        <w:spacing w:after="0" w:line="360" w:lineRule="auto"/>
        <w:rPr>
          <w:rFonts w:cstheme="minorHAnsi"/>
          <w:color w:val="000000"/>
          <w:sz w:val="24"/>
          <w:szCs w:val="24"/>
        </w:rPr>
      </w:pPr>
    </w:p>
    <w:p w14:paraId="4CCDCBE8" w14:textId="10A997B0" w:rsidR="00D56DDD" w:rsidRPr="00165893" w:rsidRDefault="00D56DDD" w:rsidP="00165893">
      <w:pPr>
        <w:pStyle w:val="Akapitzlist"/>
        <w:spacing w:after="0" w:line="360" w:lineRule="auto"/>
        <w:ind w:left="0"/>
        <w:jc w:val="both"/>
        <w:rPr>
          <w:rFonts w:cstheme="minorHAnsi"/>
          <w:sz w:val="24"/>
          <w:szCs w:val="24"/>
        </w:rPr>
      </w:pPr>
      <w:r w:rsidRPr="00165893">
        <w:rPr>
          <w:rFonts w:cstheme="minorHAnsi"/>
          <w:sz w:val="24"/>
          <w:szCs w:val="24"/>
        </w:rPr>
        <w:t>Raport „Ujawnienie informacji dotyczących adekwatności kapitałowej oraz innych informacji Banku podlegających ogłaszaniu według stanu na 31.12.202</w:t>
      </w:r>
      <w:r w:rsidR="000744FF" w:rsidRPr="00165893">
        <w:rPr>
          <w:rFonts w:cstheme="minorHAnsi"/>
          <w:sz w:val="24"/>
          <w:szCs w:val="24"/>
        </w:rPr>
        <w:t>5</w:t>
      </w:r>
      <w:r w:rsidRPr="00165893">
        <w:rPr>
          <w:rFonts w:cstheme="minorHAnsi"/>
          <w:sz w:val="24"/>
          <w:szCs w:val="24"/>
        </w:rPr>
        <w:t xml:space="preserve"> r.”, zwany dalej „Raportem”, został przygotowany zgodnie z Rozporządzeniem Parlamentu Europejskiego i Rady (UE) nr 575/2013 z 26 czerwca 2013 roku </w:t>
      </w:r>
      <w:r w:rsidR="00EF2B24" w:rsidRPr="00165893">
        <w:rPr>
          <w:rFonts w:cstheme="minorHAnsi"/>
          <w:sz w:val="24"/>
          <w:szCs w:val="24"/>
        </w:rPr>
        <w:t xml:space="preserve">w sprawie wymogów ostrożnościowych dla instytucji kredytowych i firm </w:t>
      </w:r>
      <w:r w:rsidR="00EF2B24" w:rsidRPr="00165893">
        <w:rPr>
          <w:rFonts w:cstheme="minorHAnsi"/>
          <w:noProof/>
          <w:sz w:val="24"/>
          <w:szCs w:val="24"/>
        </w:rPr>
        <w:drawing>
          <wp:inline distT="0" distB="0" distL="0" distR="0" wp14:anchorId="5DFB9913" wp14:editId="182C609F">
            <wp:extent cx="18282" cy="48742"/>
            <wp:effectExtent l="0" t="0" r="0" b="0"/>
            <wp:docPr id="231103" name="Picture 231103"/>
            <wp:cNvGraphicFramePr/>
            <a:graphic xmlns:a="http://schemas.openxmlformats.org/drawingml/2006/main">
              <a:graphicData uri="http://schemas.openxmlformats.org/drawingml/2006/picture">
                <pic:pic xmlns:pic="http://schemas.openxmlformats.org/drawingml/2006/picture">
                  <pic:nvPicPr>
                    <pic:cNvPr id="231103" name="Picture 231103"/>
                    <pic:cNvPicPr/>
                  </pic:nvPicPr>
                  <pic:blipFill>
                    <a:blip r:embed="rId9"/>
                    <a:stretch>
                      <a:fillRect/>
                    </a:stretch>
                  </pic:blipFill>
                  <pic:spPr>
                    <a:xfrm>
                      <a:off x="0" y="0"/>
                      <a:ext cx="18282" cy="48742"/>
                    </a:xfrm>
                    <a:prstGeom prst="rect">
                      <a:avLst/>
                    </a:prstGeom>
                  </pic:spPr>
                </pic:pic>
              </a:graphicData>
            </a:graphic>
          </wp:inline>
        </w:drawing>
      </w:r>
      <w:r w:rsidR="00EF2B24" w:rsidRPr="00165893">
        <w:rPr>
          <w:rFonts w:cstheme="minorHAnsi"/>
          <w:sz w:val="24"/>
          <w:szCs w:val="24"/>
        </w:rPr>
        <w:t xml:space="preserve">inwestycyjnych (z </w:t>
      </w:r>
      <w:proofErr w:type="spellStart"/>
      <w:r w:rsidR="00EF2B24" w:rsidRPr="00165893">
        <w:rPr>
          <w:rFonts w:cstheme="minorHAnsi"/>
          <w:sz w:val="24"/>
          <w:szCs w:val="24"/>
        </w:rPr>
        <w:t>późn</w:t>
      </w:r>
      <w:proofErr w:type="spellEnd"/>
      <w:r w:rsidR="00EF2B24" w:rsidRPr="00165893">
        <w:rPr>
          <w:rFonts w:cstheme="minorHAnsi"/>
          <w:sz w:val="24"/>
          <w:szCs w:val="24"/>
        </w:rPr>
        <w:t xml:space="preserve">, zm.), zwanym dalej „Rozporządzeniem CRR”, z uwzględnieniem aktów </w:t>
      </w:r>
      <w:r w:rsidR="00EF2B24" w:rsidRPr="00165893">
        <w:rPr>
          <w:rFonts w:cstheme="minorHAnsi"/>
          <w:noProof/>
          <w:sz w:val="24"/>
          <w:szCs w:val="24"/>
        </w:rPr>
        <w:drawing>
          <wp:inline distT="0" distB="0" distL="0" distR="0" wp14:anchorId="79836AC2" wp14:editId="41A37AC1">
            <wp:extent cx="6094" cy="42650"/>
            <wp:effectExtent l="0" t="0" r="0" b="0"/>
            <wp:docPr id="231105" name="Picture 231105"/>
            <wp:cNvGraphicFramePr/>
            <a:graphic xmlns:a="http://schemas.openxmlformats.org/drawingml/2006/main">
              <a:graphicData uri="http://schemas.openxmlformats.org/drawingml/2006/picture">
                <pic:pic xmlns:pic="http://schemas.openxmlformats.org/drawingml/2006/picture">
                  <pic:nvPicPr>
                    <pic:cNvPr id="231105" name="Picture 231105"/>
                    <pic:cNvPicPr/>
                  </pic:nvPicPr>
                  <pic:blipFill>
                    <a:blip r:embed="rId10"/>
                    <a:stretch>
                      <a:fillRect/>
                    </a:stretch>
                  </pic:blipFill>
                  <pic:spPr>
                    <a:xfrm>
                      <a:off x="0" y="0"/>
                      <a:ext cx="6094" cy="42650"/>
                    </a:xfrm>
                    <a:prstGeom prst="rect">
                      <a:avLst/>
                    </a:prstGeom>
                  </pic:spPr>
                </pic:pic>
              </a:graphicData>
            </a:graphic>
          </wp:inline>
        </w:drawing>
      </w:r>
      <w:r w:rsidR="00EF2B24" w:rsidRPr="00165893">
        <w:rPr>
          <w:rFonts w:cstheme="minorHAnsi"/>
          <w:noProof/>
          <w:sz w:val="24"/>
          <w:szCs w:val="24"/>
        </w:rPr>
        <w:t xml:space="preserve">wykonawczych </w:t>
      </w:r>
      <w:r w:rsidR="00EF2B24" w:rsidRPr="00165893">
        <w:rPr>
          <w:rFonts w:cstheme="minorHAnsi"/>
          <w:sz w:val="24"/>
          <w:szCs w:val="24"/>
        </w:rPr>
        <w:t>do Rozporządzenia CRR, a także Rekomendacji wydanych przez Komisję Nadzoru Finansowego, zwaną dalej „KNF”.</w:t>
      </w:r>
      <w:r w:rsidRPr="00165893">
        <w:rPr>
          <w:rFonts w:cstheme="minorHAnsi"/>
          <w:sz w:val="24"/>
          <w:szCs w:val="24"/>
        </w:rPr>
        <w:t>”.</w:t>
      </w:r>
    </w:p>
    <w:p w14:paraId="4047DFCA" w14:textId="20610FF1" w:rsidR="00D56DDD" w:rsidRPr="00165893" w:rsidRDefault="00D56DDD" w:rsidP="00165893">
      <w:pPr>
        <w:spacing w:after="0" w:line="360" w:lineRule="auto"/>
        <w:jc w:val="both"/>
        <w:rPr>
          <w:rFonts w:cstheme="minorHAnsi"/>
          <w:sz w:val="24"/>
          <w:szCs w:val="24"/>
        </w:rPr>
      </w:pPr>
    </w:p>
    <w:p w14:paraId="170DFD3E" w14:textId="4C695886" w:rsidR="00D56DDD" w:rsidRPr="00165893" w:rsidRDefault="00D56DDD" w:rsidP="00165893">
      <w:pPr>
        <w:pStyle w:val="Akapitzlist"/>
        <w:spacing w:after="0" w:line="360" w:lineRule="auto"/>
        <w:ind w:left="0"/>
        <w:jc w:val="both"/>
        <w:rPr>
          <w:rFonts w:cstheme="minorHAnsi"/>
          <w:sz w:val="24"/>
          <w:szCs w:val="24"/>
        </w:rPr>
      </w:pPr>
      <w:r w:rsidRPr="00165893">
        <w:rPr>
          <w:rFonts w:cstheme="minorHAnsi"/>
          <w:sz w:val="24"/>
          <w:szCs w:val="24"/>
        </w:rPr>
        <w:t>Wymogi dotyczące ujawniania informacji na mocy Części Ósmej Rozporządzenia CRR określone zostały w art. 431 – 455 Rozporządzenia CRR. Bank będąc małą i niezłożoną instytucją nienotowaną ujawnia w niniejszym Raporcie, zgodnie z odstępstwem wynikającym z art. 433b ust. 2 Rozporządzenia CRR, informacje dotyczące najważniejszych wskaźników, o których mowa w art. 447 Rozporządzenia CRR. Ustalając zakres informacji podlegających ujawnieniu Bank nie skorzystał z możliwości pominięcia informacji nieistotnych, zastrzeżonych lub poufnych, o której mowa w art. 432 Rozporządzenia CRR.</w:t>
      </w:r>
    </w:p>
    <w:p w14:paraId="0C8F3830" w14:textId="6D6B369E" w:rsidR="00D56DDD" w:rsidRPr="00165893" w:rsidRDefault="00D56DDD" w:rsidP="00165893">
      <w:pPr>
        <w:spacing w:after="0" w:line="360" w:lineRule="auto"/>
        <w:jc w:val="both"/>
        <w:rPr>
          <w:rFonts w:cstheme="minorHAnsi"/>
          <w:sz w:val="24"/>
          <w:szCs w:val="24"/>
        </w:rPr>
      </w:pPr>
    </w:p>
    <w:p w14:paraId="4B4A177C" w14:textId="7473CAC8" w:rsidR="00EF2B24" w:rsidRPr="00165893" w:rsidRDefault="00EF2B24" w:rsidP="00165893">
      <w:pPr>
        <w:spacing w:after="0" w:line="360" w:lineRule="auto"/>
        <w:jc w:val="both"/>
        <w:rPr>
          <w:rFonts w:cstheme="minorHAnsi"/>
          <w:sz w:val="24"/>
          <w:szCs w:val="24"/>
        </w:rPr>
      </w:pPr>
      <w:r w:rsidRPr="00165893">
        <w:rPr>
          <w:rFonts w:cstheme="minorHAnsi"/>
          <w:sz w:val="24"/>
          <w:szCs w:val="24"/>
        </w:rPr>
        <w:t xml:space="preserve">W zakresie ujawnianych informacji nie wskazano powyżej ESG, gdyż do dnia publikacji niniejszej informacji Europejski Urząd Nadzoru Bankowego nie opracował, a Komisja Europejska nie przyjęła, w ramach </w:t>
      </w:r>
      <w:r w:rsidRPr="00165893">
        <w:rPr>
          <w:rFonts w:cstheme="minorHAnsi"/>
          <w:noProof/>
          <w:sz w:val="24"/>
          <w:szCs w:val="24"/>
        </w:rPr>
        <w:drawing>
          <wp:inline distT="0" distB="0" distL="0" distR="0" wp14:anchorId="19375996" wp14:editId="7B749DF0">
            <wp:extent cx="6094" cy="6093"/>
            <wp:effectExtent l="0" t="0" r="0" b="0"/>
            <wp:docPr id="4887" name="Picture 4887"/>
            <wp:cNvGraphicFramePr/>
            <a:graphic xmlns:a="http://schemas.openxmlformats.org/drawingml/2006/main">
              <a:graphicData uri="http://schemas.openxmlformats.org/drawingml/2006/picture">
                <pic:pic xmlns:pic="http://schemas.openxmlformats.org/drawingml/2006/picture">
                  <pic:nvPicPr>
                    <pic:cNvPr id="4887" name="Picture 4887"/>
                    <pic:cNvPicPr/>
                  </pic:nvPicPr>
                  <pic:blipFill>
                    <a:blip r:embed="rId11"/>
                    <a:stretch>
                      <a:fillRect/>
                    </a:stretch>
                  </pic:blipFill>
                  <pic:spPr>
                    <a:xfrm>
                      <a:off x="0" y="0"/>
                      <a:ext cx="6094" cy="6093"/>
                    </a:xfrm>
                    <a:prstGeom prst="rect">
                      <a:avLst/>
                    </a:prstGeom>
                  </pic:spPr>
                </pic:pic>
              </a:graphicData>
            </a:graphic>
          </wp:inline>
        </w:drawing>
      </w:r>
      <w:r w:rsidRPr="00165893">
        <w:rPr>
          <w:rFonts w:cstheme="minorHAnsi"/>
          <w:sz w:val="24"/>
          <w:szCs w:val="24"/>
        </w:rPr>
        <w:t xml:space="preserve">mandatów przyznanych w art. 449a ust. 3 CRR, wykonawczych standardów technicznych określających jednolite formaty ujawniania informacji na temat </w:t>
      </w:r>
      <w:proofErr w:type="spellStart"/>
      <w:r w:rsidRPr="00165893">
        <w:rPr>
          <w:rFonts w:cstheme="minorHAnsi"/>
          <w:sz w:val="24"/>
          <w:szCs w:val="24"/>
        </w:rPr>
        <w:t>ryzyk</w:t>
      </w:r>
      <w:proofErr w:type="spellEnd"/>
      <w:r w:rsidRPr="00165893">
        <w:rPr>
          <w:rFonts w:cstheme="minorHAnsi"/>
          <w:sz w:val="24"/>
          <w:szCs w:val="24"/>
        </w:rPr>
        <w:t xml:space="preserve"> środowiskowych, społecznych i zakresu ładu korporacyjnego (</w:t>
      </w:r>
      <w:proofErr w:type="spellStart"/>
      <w:r w:rsidRPr="00165893">
        <w:rPr>
          <w:rFonts w:cstheme="minorHAnsi"/>
          <w:sz w:val="24"/>
          <w:szCs w:val="24"/>
        </w:rPr>
        <w:t>ryzyk</w:t>
      </w:r>
      <w:proofErr w:type="spellEnd"/>
      <w:r w:rsidRPr="00165893">
        <w:rPr>
          <w:rFonts w:cstheme="minorHAnsi"/>
          <w:sz w:val="24"/>
          <w:szCs w:val="24"/>
        </w:rPr>
        <w:t xml:space="preserve"> ESG) dla małych i niezłożonych instytucji, zatem Bank nie publikuje ujawnień w tym zakresie.</w:t>
      </w:r>
    </w:p>
    <w:p w14:paraId="037F4459" w14:textId="77777777" w:rsidR="00EF2B24" w:rsidRPr="00165893" w:rsidRDefault="00EF2B24" w:rsidP="00165893">
      <w:pPr>
        <w:spacing w:after="0" w:line="360" w:lineRule="auto"/>
        <w:jc w:val="both"/>
        <w:rPr>
          <w:rFonts w:cstheme="minorHAnsi"/>
          <w:sz w:val="24"/>
          <w:szCs w:val="24"/>
        </w:rPr>
      </w:pPr>
    </w:p>
    <w:p w14:paraId="451B398B" w14:textId="5A5C58E6" w:rsidR="00D56DDD" w:rsidRPr="00165893" w:rsidRDefault="00440713" w:rsidP="00165893">
      <w:pPr>
        <w:pStyle w:val="Akapitzlist"/>
        <w:spacing w:after="0" w:line="360" w:lineRule="auto"/>
        <w:ind w:left="0"/>
        <w:jc w:val="both"/>
        <w:rPr>
          <w:rFonts w:cstheme="minorHAnsi"/>
          <w:sz w:val="24"/>
          <w:szCs w:val="24"/>
        </w:rPr>
      </w:pPr>
      <w:r w:rsidRPr="00165893">
        <w:rPr>
          <w:rFonts w:cstheme="minorHAnsi"/>
          <w:sz w:val="24"/>
          <w:szCs w:val="24"/>
        </w:rPr>
        <w:t xml:space="preserve">W celu spełnienia powyższego wymogu Bank stosuje jednolite formaty ujawnień określone w Rozporządzeniu Wykonawczym Komisji (EU) </w:t>
      </w:r>
      <w:r w:rsidR="00EF2B24" w:rsidRPr="00165893">
        <w:rPr>
          <w:rFonts w:cstheme="minorHAnsi"/>
          <w:sz w:val="24"/>
          <w:szCs w:val="24"/>
        </w:rPr>
        <w:t>2024/3172 z dnia 29 listopada 2024 r.</w:t>
      </w:r>
      <w:r w:rsidRPr="00165893">
        <w:rPr>
          <w:rFonts w:cstheme="minorHAnsi"/>
          <w:sz w:val="24"/>
          <w:szCs w:val="24"/>
        </w:rPr>
        <w:t xml:space="preserve"> ustanawiającym wykonawcze standardy techniczne </w:t>
      </w:r>
      <w:r w:rsidR="00ED2ADB" w:rsidRPr="00165893">
        <w:rPr>
          <w:rFonts w:cstheme="minorHAnsi"/>
          <w:sz w:val="24"/>
          <w:szCs w:val="24"/>
        </w:rPr>
        <w:t xml:space="preserve">do celów stosowania rozporządzenia Parlamentu Europejskiego i Rady (UE) nr 575/2013 w odniesieniu do publicznego ujawniania przez instytucje informacji, o których mowa w </w:t>
      </w:r>
      <w:r w:rsidR="00ED2ADB" w:rsidRPr="00165893">
        <w:rPr>
          <w:rFonts w:cstheme="minorHAnsi"/>
          <w:noProof/>
          <w:sz w:val="24"/>
          <w:szCs w:val="24"/>
        </w:rPr>
        <w:drawing>
          <wp:inline distT="0" distB="0" distL="0" distR="0" wp14:anchorId="23CB5502" wp14:editId="4A890551">
            <wp:extent cx="6093" cy="6093"/>
            <wp:effectExtent l="0" t="0" r="0" b="0"/>
            <wp:docPr id="4891" name="Picture 4891"/>
            <wp:cNvGraphicFramePr/>
            <a:graphic xmlns:a="http://schemas.openxmlformats.org/drawingml/2006/main">
              <a:graphicData uri="http://schemas.openxmlformats.org/drawingml/2006/picture">
                <pic:pic xmlns:pic="http://schemas.openxmlformats.org/drawingml/2006/picture">
                  <pic:nvPicPr>
                    <pic:cNvPr id="4891" name="Picture 4891"/>
                    <pic:cNvPicPr/>
                  </pic:nvPicPr>
                  <pic:blipFill>
                    <a:blip r:embed="rId12"/>
                    <a:stretch>
                      <a:fillRect/>
                    </a:stretch>
                  </pic:blipFill>
                  <pic:spPr>
                    <a:xfrm>
                      <a:off x="0" y="0"/>
                      <a:ext cx="6093" cy="6093"/>
                    </a:xfrm>
                    <a:prstGeom prst="rect">
                      <a:avLst/>
                    </a:prstGeom>
                  </pic:spPr>
                </pic:pic>
              </a:graphicData>
            </a:graphic>
          </wp:inline>
        </w:drawing>
      </w:r>
      <w:r w:rsidR="00ED2ADB" w:rsidRPr="00165893">
        <w:rPr>
          <w:rFonts w:cstheme="minorHAnsi"/>
          <w:sz w:val="24"/>
          <w:szCs w:val="24"/>
        </w:rPr>
        <w:t xml:space="preserve">części ósmej tytuły II i III tego rozporządzenia, </w:t>
      </w:r>
      <w:r w:rsidR="00ED2ADB" w:rsidRPr="00165893">
        <w:rPr>
          <w:rFonts w:cstheme="minorHAnsi"/>
          <w:sz w:val="24"/>
          <w:szCs w:val="24"/>
        </w:rPr>
        <w:lastRenderedPageBreak/>
        <w:t>oraz uchylającym rozporządzenie wykonawcze Komisji (UE) 2021/637, zwanym dalej „Rozporządzeniem 2024/3172”.</w:t>
      </w:r>
    </w:p>
    <w:p w14:paraId="58B5AAE1" w14:textId="77777777" w:rsidR="00D56DDD" w:rsidRPr="00165893" w:rsidRDefault="00D56DDD" w:rsidP="00165893">
      <w:pPr>
        <w:spacing w:after="0" w:line="360" w:lineRule="auto"/>
        <w:jc w:val="both"/>
        <w:rPr>
          <w:rFonts w:cstheme="minorHAnsi"/>
          <w:sz w:val="24"/>
          <w:szCs w:val="24"/>
        </w:rPr>
      </w:pPr>
    </w:p>
    <w:p w14:paraId="07A2A200" w14:textId="2E0FDA3D" w:rsidR="00ED2ADB" w:rsidRPr="00165893" w:rsidRDefault="00ED2ADB" w:rsidP="00165893">
      <w:pPr>
        <w:spacing w:after="0" w:line="360" w:lineRule="auto"/>
        <w:ind w:left="14" w:right="14"/>
        <w:jc w:val="both"/>
        <w:rPr>
          <w:rFonts w:cstheme="minorHAnsi"/>
          <w:sz w:val="24"/>
          <w:szCs w:val="24"/>
        </w:rPr>
      </w:pPr>
      <w:r w:rsidRPr="00165893">
        <w:rPr>
          <w:rFonts w:cstheme="minorHAnsi"/>
          <w:sz w:val="24"/>
          <w:szCs w:val="24"/>
        </w:rPr>
        <w:t xml:space="preserve">Raport został przygotowany zgodnie z „Polityką informacyjną  Banku Spółdzielczego w Żywcu”, </w:t>
      </w:r>
      <w:r w:rsidRPr="00165893">
        <w:rPr>
          <w:rFonts w:cstheme="minorHAnsi"/>
          <w:noProof/>
          <w:sz w:val="24"/>
          <w:szCs w:val="24"/>
        </w:rPr>
        <w:drawing>
          <wp:inline distT="0" distB="0" distL="0" distR="0" wp14:anchorId="052D7EB8" wp14:editId="3D630C78">
            <wp:extent cx="6093" cy="6093"/>
            <wp:effectExtent l="0" t="0" r="0" b="0"/>
            <wp:docPr id="4892" name="Picture 4892"/>
            <wp:cNvGraphicFramePr/>
            <a:graphic xmlns:a="http://schemas.openxmlformats.org/drawingml/2006/main">
              <a:graphicData uri="http://schemas.openxmlformats.org/drawingml/2006/picture">
                <pic:pic xmlns:pic="http://schemas.openxmlformats.org/drawingml/2006/picture">
                  <pic:nvPicPr>
                    <pic:cNvPr id="4892" name="Picture 4892"/>
                    <pic:cNvPicPr/>
                  </pic:nvPicPr>
                  <pic:blipFill>
                    <a:blip r:embed="rId13"/>
                    <a:stretch>
                      <a:fillRect/>
                    </a:stretch>
                  </pic:blipFill>
                  <pic:spPr>
                    <a:xfrm>
                      <a:off x="0" y="0"/>
                      <a:ext cx="6093" cy="6093"/>
                    </a:xfrm>
                    <a:prstGeom prst="rect">
                      <a:avLst/>
                    </a:prstGeom>
                  </pic:spPr>
                </pic:pic>
              </a:graphicData>
            </a:graphic>
          </wp:inline>
        </w:drawing>
      </w:r>
      <w:r w:rsidRPr="00165893">
        <w:rPr>
          <w:rFonts w:cstheme="minorHAnsi"/>
          <w:sz w:val="24"/>
          <w:szCs w:val="24"/>
        </w:rPr>
        <w:t>uchwaloną przez Zarząd Banku oraz zatwierdzoną przez Radę Nadzorczą Banku</w:t>
      </w:r>
      <w:r w:rsidRPr="00165893">
        <w:rPr>
          <w:rFonts w:cstheme="minorHAnsi"/>
          <w:noProof/>
          <w:sz w:val="24"/>
          <w:szCs w:val="24"/>
        </w:rPr>
        <w:drawing>
          <wp:inline distT="0" distB="0" distL="0" distR="0" wp14:anchorId="1BE23734" wp14:editId="506C970A">
            <wp:extent cx="24376" cy="30464"/>
            <wp:effectExtent l="0" t="0" r="0" b="0"/>
            <wp:docPr id="4893" name="Picture 4893"/>
            <wp:cNvGraphicFramePr/>
            <a:graphic xmlns:a="http://schemas.openxmlformats.org/drawingml/2006/main">
              <a:graphicData uri="http://schemas.openxmlformats.org/drawingml/2006/picture">
                <pic:pic xmlns:pic="http://schemas.openxmlformats.org/drawingml/2006/picture">
                  <pic:nvPicPr>
                    <pic:cNvPr id="4893" name="Picture 4893"/>
                    <pic:cNvPicPr/>
                  </pic:nvPicPr>
                  <pic:blipFill>
                    <a:blip r:embed="rId14"/>
                    <a:stretch>
                      <a:fillRect/>
                    </a:stretch>
                  </pic:blipFill>
                  <pic:spPr>
                    <a:xfrm>
                      <a:off x="0" y="0"/>
                      <a:ext cx="24376" cy="30464"/>
                    </a:xfrm>
                    <a:prstGeom prst="rect">
                      <a:avLst/>
                    </a:prstGeom>
                  </pic:spPr>
                </pic:pic>
              </a:graphicData>
            </a:graphic>
          </wp:inline>
        </w:drawing>
      </w:r>
    </w:p>
    <w:p w14:paraId="6839C748" w14:textId="58115A8B" w:rsidR="00ED2ADB" w:rsidRPr="00165893" w:rsidRDefault="00ED2ADB" w:rsidP="00165893">
      <w:pPr>
        <w:spacing w:after="0" w:line="360" w:lineRule="auto"/>
        <w:ind w:left="14" w:right="14"/>
        <w:jc w:val="both"/>
        <w:rPr>
          <w:rFonts w:cstheme="minorHAnsi"/>
          <w:sz w:val="24"/>
          <w:szCs w:val="24"/>
        </w:rPr>
      </w:pPr>
      <w:r w:rsidRPr="00165893">
        <w:rPr>
          <w:rFonts w:cstheme="minorHAnsi"/>
          <w:sz w:val="24"/>
          <w:szCs w:val="24"/>
        </w:rPr>
        <w:t xml:space="preserve">Niniejszy Raport był przedmiotem wewnętrznej weryfikacji przeprowadzonej przez Komórkę </w:t>
      </w:r>
      <w:r w:rsidR="00326034">
        <w:rPr>
          <w:rFonts w:cstheme="minorHAnsi"/>
          <w:sz w:val="24"/>
          <w:szCs w:val="24"/>
        </w:rPr>
        <w:t>ds. ryzyka braku z</w:t>
      </w:r>
      <w:r w:rsidRPr="00165893">
        <w:rPr>
          <w:rFonts w:cstheme="minorHAnsi"/>
          <w:sz w:val="24"/>
          <w:szCs w:val="24"/>
        </w:rPr>
        <w:t>godności.</w:t>
      </w:r>
      <w:r w:rsidRPr="00165893">
        <w:rPr>
          <w:rFonts w:cstheme="minorHAnsi"/>
          <w:noProof/>
          <w:sz w:val="24"/>
          <w:szCs w:val="24"/>
        </w:rPr>
        <w:drawing>
          <wp:inline distT="0" distB="0" distL="0" distR="0" wp14:anchorId="6D546683" wp14:editId="59ED91F8">
            <wp:extent cx="6093" cy="6093"/>
            <wp:effectExtent l="0" t="0" r="0" b="0"/>
            <wp:docPr id="4894" name="Picture 4894"/>
            <wp:cNvGraphicFramePr/>
            <a:graphic xmlns:a="http://schemas.openxmlformats.org/drawingml/2006/main">
              <a:graphicData uri="http://schemas.openxmlformats.org/drawingml/2006/picture">
                <pic:pic xmlns:pic="http://schemas.openxmlformats.org/drawingml/2006/picture">
                  <pic:nvPicPr>
                    <pic:cNvPr id="4894" name="Picture 4894"/>
                    <pic:cNvPicPr/>
                  </pic:nvPicPr>
                  <pic:blipFill>
                    <a:blip r:embed="rId11"/>
                    <a:stretch>
                      <a:fillRect/>
                    </a:stretch>
                  </pic:blipFill>
                  <pic:spPr>
                    <a:xfrm>
                      <a:off x="0" y="0"/>
                      <a:ext cx="6093" cy="6093"/>
                    </a:xfrm>
                    <a:prstGeom prst="rect">
                      <a:avLst/>
                    </a:prstGeom>
                  </pic:spPr>
                </pic:pic>
              </a:graphicData>
            </a:graphic>
          </wp:inline>
        </w:drawing>
      </w:r>
    </w:p>
    <w:p w14:paraId="374B8BAA" w14:textId="33A6267D" w:rsidR="00ED2ADB" w:rsidRPr="00165893" w:rsidRDefault="00ED2ADB" w:rsidP="00165893">
      <w:pPr>
        <w:spacing w:after="0" w:line="360" w:lineRule="auto"/>
        <w:ind w:left="14" w:right="14"/>
        <w:jc w:val="both"/>
        <w:rPr>
          <w:rFonts w:cstheme="minorHAnsi"/>
          <w:sz w:val="24"/>
          <w:szCs w:val="24"/>
        </w:rPr>
      </w:pPr>
      <w:r w:rsidRPr="00165893">
        <w:rPr>
          <w:rFonts w:cstheme="minorHAnsi"/>
          <w:sz w:val="24"/>
          <w:szCs w:val="24"/>
        </w:rPr>
        <w:t>Informacje zawarte w Raporcie zostały przygotowane na podstawie danych obejmujących okres 12 miesięcy, zakończony 31 grudnia 2025 roku, zgodnie z przepisami obowiązującymi na 31 grudnia 2025 r. Niniejszy Raport podlega publikacji na stronie internetowej Banku: www.bs-zywiec.pl.</w:t>
      </w:r>
    </w:p>
    <w:p w14:paraId="65F46679" w14:textId="77777777" w:rsidR="00ED2ADB" w:rsidRPr="00165893" w:rsidRDefault="00ED2ADB" w:rsidP="00165893">
      <w:pPr>
        <w:spacing w:after="0" w:line="360" w:lineRule="auto"/>
        <w:jc w:val="both"/>
        <w:rPr>
          <w:rFonts w:cstheme="minorHAnsi"/>
          <w:sz w:val="24"/>
          <w:szCs w:val="24"/>
        </w:rPr>
      </w:pPr>
    </w:p>
    <w:p w14:paraId="09239996" w14:textId="2CFA637B" w:rsidR="00440713" w:rsidRPr="00165893" w:rsidRDefault="00ED2ADB" w:rsidP="00165893">
      <w:pPr>
        <w:spacing w:after="0" w:line="360" w:lineRule="auto"/>
        <w:jc w:val="both"/>
        <w:rPr>
          <w:rFonts w:cstheme="minorHAnsi"/>
          <w:sz w:val="24"/>
          <w:szCs w:val="24"/>
        </w:rPr>
      </w:pPr>
      <w:bookmarkStart w:id="0" w:name="_Hlk110590499"/>
      <w:r w:rsidRPr="00165893">
        <w:rPr>
          <w:rFonts w:eastAsia="Times New Roman" w:cstheme="minorHAnsi"/>
          <w:sz w:val="24"/>
          <w:szCs w:val="24"/>
        </w:rPr>
        <w:t>Nota:</w:t>
      </w:r>
    </w:p>
    <w:p w14:paraId="7400A453" w14:textId="7B61A5E0" w:rsidR="009B0B2C" w:rsidRPr="00165893" w:rsidRDefault="009B0B2C"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Zgodnie </w:t>
      </w:r>
      <w:r w:rsidR="00C619BA" w:rsidRPr="00165893">
        <w:rPr>
          <w:rFonts w:eastAsia="Times New Roman" w:cstheme="minorHAnsi"/>
          <w:sz w:val="24"/>
          <w:szCs w:val="24"/>
        </w:rPr>
        <w:t xml:space="preserve">z art. 25 Rozporządzenia 2024/3172 </w:t>
      </w:r>
      <w:r w:rsidRPr="00165893">
        <w:rPr>
          <w:rFonts w:cstheme="minorHAnsi"/>
          <w:sz w:val="24"/>
          <w:szCs w:val="24"/>
        </w:rPr>
        <w:t xml:space="preserve">Bank informuje, że: </w:t>
      </w:r>
    </w:p>
    <w:p w14:paraId="57ACE99B" w14:textId="7855839C" w:rsidR="009B0B2C" w:rsidRPr="00165893" w:rsidRDefault="009B0B2C" w:rsidP="00165893">
      <w:pPr>
        <w:pStyle w:val="Akapitzlist"/>
        <w:numPr>
          <w:ilvl w:val="0"/>
          <w:numId w:val="1"/>
        </w:numPr>
        <w:autoSpaceDE w:val="0"/>
        <w:autoSpaceDN w:val="0"/>
        <w:adjustRightInd w:val="0"/>
        <w:spacing w:after="18" w:line="360" w:lineRule="auto"/>
        <w:ind w:left="360"/>
        <w:jc w:val="both"/>
        <w:rPr>
          <w:rFonts w:cstheme="minorHAnsi"/>
          <w:sz w:val="24"/>
          <w:szCs w:val="24"/>
        </w:rPr>
      </w:pPr>
      <w:r w:rsidRPr="00165893">
        <w:rPr>
          <w:rFonts w:cstheme="minorHAnsi"/>
          <w:sz w:val="24"/>
          <w:szCs w:val="24"/>
        </w:rPr>
        <w:t xml:space="preserve">pełna nazwa Banku to Bank Spółdzielczy w Żywcu, </w:t>
      </w:r>
    </w:p>
    <w:p w14:paraId="121F747B" w14:textId="48D3F7BA" w:rsidR="00C619BA" w:rsidRPr="00165893" w:rsidRDefault="00C619BA" w:rsidP="00165893">
      <w:pPr>
        <w:pStyle w:val="Akapitzlist"/>
        <w:numPr>
          <w:ilvl w:val="0"/>
          <w:numId w:val="1"/>
        </w:numPr>
        <w:autoSpaceDE w:val="0"/>
        <w:autoSpaceDN w:val="0"/>
        <w:adjustRightInd w:val="0"/>
        <w:spacing w:after="18" w:line="360" w:lineRule="auto"/>
        <w:ind w:left="360"/>
        <w:jc w:val="both"/>
        <w:rPr>
          <w:rFonts w:cstheme="minorHAnsi"/>
          <w:sz w:val="24"/>
          <w:szCs w:val="24"/>
        </w:rPr>
      </w:pPr>
      <w:r w:rsidRPr="00165893">
        <w:rPr>
          <w:rFonts w:cstheme="minorHAnsi"/>
          <w:sz w:val="24"/>
          <w:szCs w:val="24"/>
        </w:rPr>
        <w:t>kod LEI Banku to: 259400X6PWS6QCPNI658</w:t>
      </w:r>
    </w:p>
    <w:p w14:paraId="279D3C19" w14:textId="454F07C3" w:rsidR="009B0B2C" w:rsidRPr="00165893" w:rsidRDefault="006C73AB" w:rsidP="00165893">
      <w:pPr>
        <w:pStyle w:val="Akapitzlist"/>
        <w:numPr>
          <w:ilvl w:val="0"/>
          <w:numId w:val="1"/>
        </w:numPr>
        <w:autoSpaceDE w:val="0"/>
        <w:autoSpaceDN w:val="0"/>
        <w:adjustRightInd w:val="0"/>
        <w:spacing w:after="18" w:line="360" w:lineRule="auto"/>
        <w:ind w:left="360"/>
        <w:jc w:val="both"/>
        <w:rPr>
          <w:rFonts w:cstheme="minorHAnsi"/>
          <w:sz w:val="24"/>
          <w:szCs w:val="24"/>
        </w:rPr>
      </w:pPr>
      <w:r>
        <w:rPr>
          <w:rFonts w:cstheme="minorHAnsi"/>
          <w:sz w:val="24"/>
          <w:szCs w:val="24"/>
        </w:rPr>
        <w:t xml:space="preserve">o </w:t>
      </w:r>
      <w:r w:rsidR="009B0B2C" w:rsidRPr="00165893">
        <w:rPr>
          <w:rFonts w:cstheme="minorHAnsi"/>
          <w:sz w:val="24"/>
          <w:szCs w:val="24"/>
        </w:rPr>
        <w:t xml:space="preserve">ile nie zaznaczono inaczej, ilościowe dane pieniężne ujawnione w niniejszym Raporcie prezentowane są w PLN z dokładnością odpowiadającą tys. zł, a dane ilościowe ujawniane w formie odsetka wyrażone zostały zgodnie z jednostką, z zastosowaniem minimalnej dokładności odpowiadającej czwartemu miejscu po przecinku, </w:t>
      </w:r>
    </w:p>
    <w:p w14:paraId="561764C5" w14:textId="7ACF01A1" w:rsidR="009B0B2C" w:rsidRPr="00165893" w:rsidRDefault="009B0B2C" w:rsidP="00165893">
      <w:pPr>
        <w:pStyle w:val="Akapitzlist"/>
        <w:numPr>
          <w:ilvl w:val="0"/>
          <w:numId w:val="1"/>
        </w:numPr>
        <w:autoSpaceDE w:val="0"/>
        <w:autoSpaceDN w:val="0"/>
        <w:adjustRightInd w:val="0"/>
        <w:spacing w:after="18" w:line="360" w:lineRule="auto"/>
        <w:ind w:left="360"/>
        <w:jc w:val="both"/>
        <w:rPr>
          <w:rFonts w:cstheme="minorHAnsi"/>
          <w:sz w:val="24"/>
          <w:szCs w:val="24"/>
        </w:rPr>
      </w:pPr>
      <w:r w:rsidRPr="00165893">
        <w:rPr>
          <w:rFonts w:cstheme="minorHAnsi"/>
          <w:sz w:val="24"/>
          <w:szCs w:val="24"/>
        </w:rPr>
        <w:t xml:space="preserve">Bank stosuje Polskie Standardy Rachunkowości, </w:t>
      </w:r>
    </w:p>
    <w:p w14:paraId="5A81C3AA" w14:textId="76686DD6" w:rsidR="009B0B2C" w:rsidRPr="00165893" w:rsidRDefault="009B0B2C" w:rsidP="00165893">
      <w:pPr>
        <w:pStyle w:val="Akapitzlist"/>
        <w:numPr>
          <w:ilvl w:val="0"/>
          <w:numId w:val="1"/>
        </w:numPr>
        <w:autoSpaceDE w:val="0"/>
        <w:autoSpaceDN w:val="0"/>
        <w:adjustRightInd w:val="0"/>
        <w:spacing w:after="0" w:line="360" w:lineRule="auto"/>
        <w:ind w:left="360"/>
        <w:jc w:val="both"/>
        <w:rPr>
          <w:rFonts w:cstheme="minorHAnsi"/>
          <w:sz w:val="24"/>
          <w:szCs w:val="24"/>
        </w:rPr>
      </w:pPr>
      <w:r w:rsidRPr="00165893">
        <w:rPr>
          <w:rFonts w:cstheme="minorHAnsi"/>
          <w:sz w:val="24"/>
          <w:szCs w:val="24"/>
        </w:rPr>
        <w:t xml:space="preserve">Bank nie posiada jednostek zależnych i nie podlega konsolidacji dla celów księgowych ani konsolidacji ostrożnościowej – mając na uwadze powyższe, dane zawarte w niniejszym Raporcie sporządzone są na podstawie danych jednostkowych. </w:t>
      </w:r>
    </w:p>
    <w:bookmarkEnd w:id="0"/>
    <w:p w14:paraId="4D1C8617" w14:textId="2043240B" w:rsidR="00E407D5" w:rsidRPr="00165893" w:rsidRDefault="00E407D5" w:rsidP="00165893">
      <w:pPr>
        <w:pStyle w:val="Akapitzlist"/>
        <w:spacing w:after="0" w:line="360" w:lineRule="auto"/>
        <w:ind w:left="66"/>
        <w:jc w:val="both"/>
        <w:rPr>
          <w:rFonts w:cstheme="minorHAnsi"/>
          <w:sz w:val="24"/>
          <w:szCs w:val="24"/>
        </w:rPr>
      </w:pPr>
    </w:p>
    <w:p w14:paraId="4ACA6BE6" w14:textId="24F478E8" w:rsidR="009B0B2C" w:rsidRDefault="009B0B2C" w:rsidP="00825A59">
      <w:pPr>
        <w:pStyle w:val="Akapitzlist"/>
        <w:spacing w:after="0" w:line="360" w:lineRule="auto"/>
        <w:ind w:left="426"/>
        <w:jc w:val="both"/>
        <w:rPr>
          <w:rFonts w:cstheme="minorHAnsi"/>
          <w:sz w:val="24"/>
          <w:szCs w:val="24"/>
        </w:rPr>
      </w:pPr>
    </w:p>
    <w:p w14:paraId="18436FE4" w14:textId="77777777" w:rsidR="00825A59" w:rsidRDefault="00825A59" w:rsidP="00825A59">
      <w:pPr>
        <w:pStyle w:val="Akapitzlist"/>
        <w:spacing w:after="0" w:line="360" w:lineRule="auto"/>
        <w:ind w:left="426"/>
        <w:jc w:val="both"/>
        <w:rPr>
          <w:rFonts w:cstheme="minorHAnsi"/>
          <w:sz w:val="24"/>
          <w:szCs w:val="24"/>
        </w:rPr>
      </w:pPr>
    </w:p>
    <w:p w14:paraId="1AE381E0" w14:textId="77777777" w:rsidR="00825A59" w:rsidRDefault="00825A59" w:rsidP="00825A59">
      <w:pPr>
        <w:pStyle w:val="Akapitzlist"/>
        <w:spacing w:after="0" w:line="360" w:lineRule="auto"/>
        <w:ind w:left="426"/>
        <w:jc w:val="both"/>
        <w:rPr>
          <w:rFonts w:cstheme="minorHAnsi"/>
          <w:sz w:val="24"/>
          <w:szCs w:val="24"/>
        </w:rPr>
      </w:pPr>
    </w:p>
    <w:p w14:paraId="2DD158C3" w14:textId="77777777" w:rsidR="00825A59" w:rsidRDefault="00825A59" w:rsidP="00825A59">
      <w:pPr>
        <w:pStyle w:val="Akapitzlist"/>
        <w:spacing w:after="0" w:line="360" w:lineRule="auto"/>
        <w:ind w:left="426"/>
        <w:jc w:val="both"/>
        <w:rPr>
          <w:rFonts w:cstheme="minorHAnsi"/>
          <w:sz w:val="24"/>
          <w:szCs w:val="24"/>
        </w:rPr>
      </w:pPr>
    </w:p>
    <w:p w14:paraId="648068C4" w14:textId="77777777" w:rsidR="00825A59" w:rsidRDefault="00825A59" w:rsidP="00825A59">
      <w:pPr>
        <w:pStyle w:val="Akapitzlist"/>
        <w:spacing w:after="0" w:line="360" w:lineRule="auto"/>
        <w:ind w:left="426"/>
        <w:jc w:val="both"/>
        <w:rPr>
          <w:rFonts w:cstheme="minorHAnsi"/>
          <w:sz w:val="24"/>
          <w:szCs w:val="24"/>
        </w:rPr>
      </w:pPr>
    </w:p>
    <w:p w14:paraId="0C384BE1" w14:textId="77777777" w:rsidR="00825A59" w:rsidRPr="005549A7" w:rsidRDefault="00825A59" w:rsidP="00825A59">
      <w:pPr>
        <w:pStyle w:val="Akapitzlist"/>
        <w:spacing w:after="0" w:line="360" w:lineRule="auto"/>
        <w:ind w:left="426"/>
        <w:jc w:val="both"/>
        <w:rPr>
          <w:rFonts w:cstheme="minorHAnsi"/>
          <w:sz w:val="24"/>
          <w:szCs w:val="24"/>
        </w:rPr>
      </w:pPr>
    </w:p>
    <w:p w14:paraId="20D94B16" w14:textId="77777777" w:rsidR="00C859D2" w:rsidRPr="00165893" w:rsidRDefault="00C859D2" w:rsidP="00165893">
      <w:pPr>
        <w:pStyle w:val="Nagwekspisutreci"/>
        <w:keepLines w:val="0"/>
        <w:suppressAutoHyphens/>
        <w:overflowPunct w:val="0"/>
        <w:autoSpaceDE w:val="0"/>
        <w:autoSpaceDN w:val="0"/>
        <w:adjustRightInd w:val="0"/>
        <w:spacing w:after="60" w:line="360" w:lineRule="auto"/>
        <w:jc w:val="both"/>
        <w:textAlignment w:val="baseline"/>
        <w:rPr>
          <w:rFonts w:asciiTheme="minorHAnsi" w:hAnsiTheme="minorHAnsi" w:cstheme="minorHAnsi"/>
          <w:b/>
          <w:bCs/>
          <w:color w:val="auto"/>
          <w:kern w:val="32"/>
          <w:sz w:val="24"/>
          <w:szCs w:val="24"/>
          <w:lang w:eastAsia="pl-PL"/>
        </w:rPr>
      </w:pPr>
      <w:r w:rsidRPr="00165893">
        <w:rPr>
          <w:rFonts w:asciiTheme="minorHAnsi" w:hAnsiTheme="minorHAnsi" w:cstheme="minorHAnsi"/>
          <w:b/>
          <w:bCs/>
          <w:color w:val="auto"/>
          <w:kern w:val="32"/>
          <w:sz w:val="24"/>
          <w:szCs w:val="24"/>
          <w:lang w:eastAsia="pl-PL"/>
        </w:rPr>
        <w:lastRenderedPageBreak/>
        <w:t>Spis treści</w:t>
      </w:r>
    </w:p>
    <w:p w14:paraId="27BCD3EB" w14:textId="5366C8B5" w:rsidR="00597189" w:rsidRPr="00EC1222" w:rsidRDefault="00597189" w:rsidP="00165893">
      <w:pPr>
        <w:pStyle w:val="Akapitzlist"/>
        <w:numPr>
          <w:ilvl w:val="0"/>
          <w:numId w:val="21"/>
        </w:numPr>
        <w:spacing w:line="360" w:lineRule="auto"/>
        <w:jc w:val="both"/>
        <w:rPr>
          <w:sz w:val="24"/>
          <w:szCs w:val="24"/>
          <w:lang w:eastAsia="pl-PL"/>
        </w:rPr>
      </w:pPr>
      <w:r w:rsidRPr="00EC1222">
        <w:rPr>
          <w:sz w:val="24"/>
          <w:szCs w:val="24"/>
          <w:lang w:eastAsia="pl-PL"/>
        </w:rPr>
        <w:t>Ogólne informacje o Banku</w:t>
      </w:r>
    </w:p>
    <w:p w14:paraId="6F55305E" w14:textId="34296305" w:rsidR="00E23AB3" w:rsidRPr="00EC1222" w:rsidRDefault="00E23AB3" w:rsidP="00165893">
      <w:pPr>
        <w:pStyle w:val="Akapitzlist"/>
        <w:numPr>
          <w:ilvl w:val="0"/>
          <w:numId w:val="21"/>
        </w:numPr>
        <w:spacing w:line="360" w:lineRule="auto"/>
        <w:jc w:val="both"/>
        <w:rPr>
          <w:sz w:val="24"/>
          <w:szCs w:val="24"/>
          <w:lang w:eastAsia="pl-PL"/>
        </w:rPr>
      </w:pPr>
      <w:r w:rsidRPr="00EC1222">
        <w:rPr>
          <w:sz w:val="24"/>
          <w:szCs w:val="24"/>
        </w:rPr>
        <w:t>Informacje ujawniane na podstawie art. 111a ust. 1 Ustawy Prawo bankowe</w:t>
      </w:r>
    </w:p>
    <w:p w14:paraId="7F38FC06" w14:textId="6F158575" w:rsidR="00597189" w:rsidRPr="00EC1222" w:rsidRDefault="00597189" w:rsidP="00165893">
      <w:pPr>
        <w:pStyle w:val="Akapitzlist"/>
        <w:numPr>
          <w:ilvl w:val="0"/>
          <w:numId w:val="21"/>
        </w:numPr>
        <w:spacing w:line="360" w:lineRule="auto"/>
        <w:jc w:val="both"/>
        <w:rPr>
          <w:sz w:val="24"/>
          <w:szCs w:val="24"/>
          <w:lang w:eastAsia="pl-PL"/>
        </w:rPr>
      </w:pPr>
      <w:r w:rsidRPr="00EC1222">
        <w:rPr>
          <w:sz w:val="24"/>
          <w:szCs w:val="24"/>
          <w:lang w:eastAsia="pl-PL"/>
        </w:rPr>
        <w:t>Tabela EU KM1 – Najważniejsze wskaźniki ( w tys. zł)</w:t>
      </w:r>
    </w:p>
    <w:p w14:paraId="5426BF42" w14:textId="3614F4CB" w:rsidR="00597189" w:rsidRPr="00EC1222" w:rsidRDefault="00597189" w:rsidP="00165893">
      <w:pPr>
        <w:pStyle w:val="Akapitzlist"/>
        <w:numPr>
          <w:ilvl w:val="0"/>
          <w:numId w:val="21"/>
        </w:numPr>
        <w:spacing w:line="360" w:lineRule="auto"/>
        <w:jc w:val="both"/>
        <w:rPr>
          <w:sz w:val="24"/>
          <w:szCs w:val="24"/>
          <w:lang w:eastAsia="pl-PL"/>
        </w:rPr>
      </w:pPr>
      <w:r w:rsidRPr="00EC1222">
        <w:rPr>
          <w:sz w:val="24"/>
          <w:szCs w:val="24"/>
          <w:lang w:eastAsia="pl-PL"/>
        </w:rPr>
        <w:t xml:space="preserve">Ujawnienia </w:t>
      </w:r>
      <w:r w:rsidR="00A37B53" w:rsidRPr="00EC1222">
        <w:rPr>
          <w:sz w:val="24"/>
          <w:szCs w:val="24"/>
          <w:lang w:eastAsia="pl-PL"/>
        </w:rPr>
        <w:t>informacji dotyczące ryzyka operacyjnego – zgodnie z Rekomendacją M KNF</w:t>
      </w:r>
    </w:p>
    <w:p w14:paraId="0C146737" w14:textId="05C94B7B" w:rsidR="00A37B53" w:rsidRPr="00EC1222" w:rsidRDefault="00A37B53" w:rsidP="00165893">
      <w:pPr>
        <w:pStyle w:val="Akapitzlist"/>
        <w:numPr>
          <w:ilvl w:val="0"/>
          <w:numId w:val="21"/>
        </w:numPr>
        <w:spacing w:line="360" w:lineRule="auto"/>
        <w:jc w:val="both"/>
        <w:rPr>
          <w:sz w:val="24"/>
          <w:szCs w:val="24"/>
          <w:lang w:eastAsia="pl-PL"/>
        </w:rPr>
      </w:pPr>
      <w:r w:rsidRPr="00EC1222">
        <w:rPr>
          <w:sz w:val="24"/>
          <w:szCs w:val="24"/>
          <w:lang w:eastAsia="pl-PL"/>
        </w:rPr>
        <w:t>Ujawnienia informacji dotyczące ryzyka płynności – zgodnie z Rekomendacją P KNF</w:t>
      </w:r>
    </w:p>
    <w:p w14:paraId="5CA8FF97" w14:textId="4912C2BD" w:rsidR="00A37B53" w:rsidRPr="00165893" w:rsidRDefault="00A37B53" w:rsidP="00165893">
      <w:pPr>
        <w:pStyle w:val="Akapitzlist"/>
        <w:numPr>
          <w:ilvl w:val="0"/>
          <w:numId w:val="21"/>
        </w:numPr>
        <w:spacing w:line="360" w:lineRule="auto"/>
        <w:jc w:val="both"/>
        <w:rPr>
          <w:sz w:val="24"/>
          <w:szCs w:val="24"/>
          <w:lang w:eastAsia="pl-PL"/>
        </w:rPr>
      </w:pPr>
      <w:r w:rsidRPr="00EC1222">
        <w:rPr>
          <w:sz w:val="24"/>
          <w:szCs w:val="24"/>
          <w:lang w:eastAsia="pl-PL"/>
        </w:rPr>
        <w:t xml:space="preserve">Opis systemu zarządzania, w tym systemu </w:t>
      </w:r>
      <w:r w:rsidRPr="00165893">
        <w:rPr>
          <w:sz w:val="24"/>
          <w:szCs w:val="24"/>
          <w:lang w:eastAsia="pl-PL"/>
        </w:rPr>
        <w:t xml:space="preserve">zarządzania </w:t>
      </w:r>
      <w:r w:rsidR="00825A59" w:rsidRPr="00165893">
        <w:rPr>
          <w:sz w:val="24"/>
          <w:szCs w:val="24"/>
          <w:lang w:eastAsia="pl-PL"/>
        </w:rPr>
        <w:t>ryzykiem</w:t>
      </w:r>
      <w:r w:rsidR="00F02E58" w:rsidRPr="00165893">
        <w:rPr>
          <w:sz w:val="24"/>
          <w:szCs w:val="24"/>
          <w:lang w:eastAsia="pl-PL"/>
        </w:rPr>
        <w:t xml:space="preserve"> i polityki wynagrodzeń</w:t>
      </w:r>
      <w:r w:rsidR="00825A59" w:rsidRPr="00165893">
        <w:rPr>
          <w:sz w:val="24"/>
          <w:szCs w:val="24"/>
          <w:lang w:eastAsia="pl-PL"/>
        </w:rPr>
        <w:t>.</w:t>
      </w:r>
    </w:p>
    <w:p w14:paraId="17FB48F0" w14:textId="4122303A" w:rsidR="00825A59" w:rsidRPr="00165893" w:rsidRDefault="00825A59" w:rsidP="00165893">
      <w:pPr>
        <w:pStyle w:val="Akapitzlist"/>
        <w:numPr>
          <w:ilvl w:val="0"/>
          <w:numId w:val="21"/>
        </w:numPr>
        <w:spacing w:line="360" w:lineRule="auto"/>
        <w:jc w:val="both"/>
        <w:rPr>
          <w:sz w:val="24"/>
          <w:szCs w:val="24"/>
          <w:lang w:eastAsia="pl-PL"/>
        </w:rPr>
      </w:pPr>
      <w:r w:rsidRPr="00165893">
        <w:rPr>
          <w:sz w:val="24"/>
          <w:szCs w:val="24"/>
          <w:lang w:eastAsia="pl-PL"/>
        </w:rPr>
        <w:t>Ujawnienia informacji na podstawie Rekomendacji Z KNF</w:t>
      </w:r>
    </w:p>
    <w:p w14:paraId="7BBA7AC5" w14:textId="2CDD82C3" w:rsidR="00F02E58" w:rsidRPr="00165893" w:rsidRDefault="00F02E58" w:rsidP="00165893">
      <w:pPr>
        <w:pStyle w:val="Akapitzlist"/>
        <w:numPr>
          <w:ilvl w:val="0"/>
          <w:numId w:val="21"/>
        </w:numPr>
        <w:spacing w:line="360" w:lineRule="auto"/>
        <w:jc w:val="both"/>
        <w:rPr>
          <w:sz w:val="24"/>
          <w:szCs w:val="24"/>
          <w:lang w:eastAsia="pl-PL"/>
        </w:rPr>
      </w:pPr>
      <w:r w:rsidRPr="00165893">
        <w:rPr>
          <w:sz w:val="24"/>
          <w:szCs w:val="24"/>
          <w:lang w:eastAsia="pl-PL"/>
        </w:rPr>
        <w:t xml:space="preserve">Informacja o spełnieniu przez Członków </w:t>
      </w:r>
      <w:r w:rsidR="00E47A5E" w:rsidRPr="00165893">
        <w:rPr>
          <w:sz w:val="24"/>
          <w:szCs w:val="24"/>
          <w:lang w:eastAsia="pl-PL"/>
        </w:rPr>
        <w:t>R</w:t>
      </w:r>
      <w:r w:rsidRPr="00165893">
        <w:rPr>
          <w:sz w:val="24"/>
          <w:szCs w:val="24"/>
          <w:lang w:eastAsia="pl-PL"/>
        </w:rPr>
        <w:t>ady Nadzorczej i Zarządu wymogów określonych w art.22aa Ustawy Prawo bankowe.</w:t>
      </w:r>
    </w:p>
    <w:p w14:paraId="3200889C" w14:textId="6A347C33" w:rsidR="00F02E58" w:rsidRPr="00165893" w:rsidRDefault="00F02E58" w:rsidP="00165893">
      <w:pPr>
        <w:pStyle w:val="Akapitzlist"/>
        <w:numPr>
          <w:ilvl w:val="0"/>
          <w:numId w:val="21"/>
        </w:numPr>
        <w:spacing w:line="360" w:lineRule="auto"/>
        <w:jc w:val="both"/>
        <w:rPr>
          <w:sz w:val="24"/>
          <w:szCs w:val="24"/>
          <w:lang w:eastAsia="pl-PL"/>
        </w:rPr>
      </w:pPr>
      <w:r w:rsidRPr="00165893">
        <w:rPr>
          <w:sz w:val="24"/>
          <w:szCs w:val="24"/>
          <w:lang w:eastAsia="pl-PL"/>
        </w:rPr>
        <w:t>Oświadczenie Zarządu Banku Spółdzielczego w Żywcu</w:t>
      </w:r>
      <w:r w:rsidR="005524BC">
        <w:rPr>
          <w:sz w:val="24"/>
          <w:szCs w:val="24"/>
          <w:lang w:eastAsia="pl-PL"/>
        </w:rPr>
        <w:t>.</w:t>
      </w:r>
    </w:p>
    <w:p w14:paraId="4B225193" w14:textId="77777777" w:rsidR="00C859D2" w:rsidRPr="00165893" w:rsidRDefault="00C859D2" w:rsidP="00165893">
      <w:pPr>
        <w:spacing w:line="360" w:lineRule="auto"/>
        <w:jc w:val="both"/>
        <w:rPr>
          <w:rFonts w:cstheme="minorHAnsi"/>
          <w:sz w:val="24"/>
          <w:szCs w:val="24"/>
          <w:lang w:eastAsia="pl-PL"/>
        </w:rPr>
      </w:pPr>
    </w:p>
    <w:p w14:paraId="5135F378" w14:textId="57A10998" w:rsidR="001561D3" w:rsidRPr="005549A7" w:rsidRDefault="001561D3" w:rsidP="00825A59">
      <w:pPr>
        <w:pStyle w:val="Akapitzlist"/>
        <w:spacing w:after="0" w:line="360" w:lineRule="auto"/>
        <w:ind w:left="426"/>
        <w:rPr>
          <w:rFonts w:cstheme="minorHAnsi"/>
          <w:sz w:val="24"/>
          <w:szCs w:val="24"/>
        </w:rPr>
      </w:pPr>
    </w:p>
    <w:p w14:paraId="6ECE3331" w14:textId="45296359" w:rsidR="001561D3" w:rsidRPr="005549A7" w:rsidRDefault="001561D3" w:rsidP="00825A59">
      <w:pPr>
        <w:pStyle w:val="Akapitzlist"/>
        <w:spacing w:after="0" w:line="360" w:lineRule="auto"/>
        <w:ind w:left="426"/>
        <w:rPr>
          <w:rFonts w:cstheme="minorHAnsi"/>
          <w:sz w:val="24"/>
          <w:szCs w:val="24"/>
        </w:rPr>
      </w:pPr>
    </w:p>
    <w:p w14:paraId="5FD53901" w14:textId="11F8B5E1" w:rsidR="008E74D3" w:rsidRDefault="008E74D3" w:rsidP="00825A59">
      <w:pPr>
        <w:pStyle w:val="Akapitzlist"/>
        <w:spacing w:after="0" w:line="360" w:lineRule="auto"/>
        <w:ind w:left="426"/>
        <w:rPr>
          <w:rFonts w:cstheme="minorHAnsi"/>
          <w:sz w:val="24"/>
          <w:szCs w:val="24"/>
        </w:rPr>
      </w:pPr>
    </w:p>
    <w:p w14:paraId="7994269A" w14:textId="77777777" w:rsidR="00825A59" w:rsidRDefault="00825A59" w:rsidP="00825A59">
      <w:pPr>
        <w:pStyle w:val="Akapitzlist"/>
        <w:spacing w:after="0" w:line="360" w:lineRule="auto"/>
        <w:ind w:left="426"/>
        <w:rPr>
          <w:rFonts w:cstheme="minorHAnsi"/>
          <w:sz w:val="24"/>
          <w:szCs w:val="24"/>
        </w:rPr>
      </w:pPr>
    </w:p>
    <w:p w14:paraId="7E04C5E6" w14:textId="77777777" w:rsidR="00825A59" w:rsidRDefault="00825A59" w:rsidP="00825A59">
      <w:pPr>
        <w:pStyle w:val="Akapitzlist"/>
        <w:spacing w:after="0" w:line="360" w:lineRule="auto"/>
        <w:ind w:left="426"/>
        <w:rPr>
          <w:rFonts w:cstheme="minorHAnsi"/>
          <w:sz w:val="24"/>
          <w:szCs w:val="24"/>
        </w:rPr>
      </w:pPr>
    </w:p>
    <w:p w14:paraId="7773011E" w14:textId="77777777" w:rsidR="00825A59" w:rsidRDefault="00825A59" w:rsidP="00825A59">
      <w:pPr>
        <w:pStyle w:val="Akapitzlist"/>
        <w:spacing w:after="0" w:line="360" w:lineRule="auto"/>
        <w:ind w:left="426"/>
        <w:rPr>
          <w:rFonts w:cstheme="minorHAnsi"/>
          <w:sz w:val="24"/>
          <w:szCs w:val="24"/>
        </w:rPr>
      </w:pPr>
    </w:p>
    <w:p w14:paraId="77465AAC" w14:textId="77777777" w:rsidR="00825A59" w:rsidRDefault="00825A59" w:rsidP="00825A59">
      <w:pPr>
        <w:pStyle w:val="Akapitzlist"/>
        <w:spacing w:after="0" w:line="360" w:lineRule="auto"/>
        <w:ind w:left="426"/>
        <w:rPr>
          <w:rFonts w:cstheme="minorHAnsi"/>
          <w:sz w:val="24"/>
          <w:szCs w:val="24"/>
        </w:rPr>
      </w:pPr>
    </w:p>
    <w:p w14:paraId="7521F756" w14:textId="77777777" w:rsidR="00825A59" w:rsidRDefault="00825A59" w:rsidP="00825A59">
      <w:pPr>
        <w:pStyle w:val="Akapitzlist"/>
        <w:spacing w:after="0" w:line="360" w:lineRule="auto"/>
        <w:ind w:left="426"/>
        <w:rPr>
          <w:rFonts w:cstheme="minorHAnsi"/>
          <w:sz w:val="24"/>
          <w:szCs w:val="24"/>
        </w:rPr>
      </w:pPr>
    </w:p>
    <w:p w14:paraId="1D1E05AE" w14:textId="77777777" w:rsidR="00825A59" w:rsidRDefault="00825A59" w:rsidP="00825A59">
      <w:pPr>
        <w:pStyle w:val="Akapitzlist"/>
        <w:spacing w:after="0" w:line="360" w:lineRule="auto"/>
        <w:ind w:left="426"/>
        <w:rPr>
          <w:rFonts w:cstheme="minorHAnsi"/>
          <w:sz w:val="24"/>
          <w:szCs w:val="24"/>
        </w:rPr>
      </w:pPr>
    </w:p>
    <w:p w14:paraId="7EA70148" w14:textId="77777777" w:rsidR="00825A59" w:rsidRDefault="00825A59" w:rsidP="00825A59">
      <w:pPr>
        <w:pStyle w:val="Akapitzlist"/>
        <w:spacing w:after="0" w:line="360" w:lineRule="auto"/>
        <w:ind w:left="426"/>
        <w:rPr>
          <w:rFonts w:cstheme="minorHAnsi"/>
          <w:sz w:val="24"/>
          <w:szCs w:val="24"/>
        </w:rPr>
      </w:pPr>
    </w:p>
    <w:p w14:paraId="769AA5F6" w14:textId="77777777" w:rsidR="00825A59" w:rsidRDefault="00825A59" w:rsidP="00825A59">
      <w:pPr>
        <w:pStyle w:val="Akapitzlist"/>
        <w:spacing w:after="0" w:line="360" w:lineRule="auto"/>
        <w:ind w:left="426"/>
        <w:rPr>
          <w:rFonts w:cstheme="minorHAnsi"/>
          <w:sz w:val="24"/>
          <w:szCs w:val="24"/>
        </w:rPr>
      </w:pPr>
    </w:p>
    <w:p w14:paraId="489B30C0" w14:textId="77777777" w:rsidR="00825A59" w:rsidRDefault="00825A59" w:rsidP="00825A59">
      <w:pPr>
        <w:pStyle w:val="Akapitzlist"/>
        <w:spacing w:after="0" w:line="360" w:lineRule="auto"/>
        <w:ind w:left="426"/>
        <w:rPr>
          <w:rFonts w:cstheme="minorHAnsi"/>
          <w:sz w:val="24"/>
          <w:szCs w:val="24"/>
        </w:rPr>
      </w:pPr>
    </w:p>
    <w:p w14:paraId="0A980BDE" w14:textId="77777777" w:rsidR="00825A59" w:rsidRDefault="00825A59" w:rsidP="00825A59">
      <w:pPr>
        <w:pStyle w:val="Akapitzlist"/>
        <w:spacing w:after="0" w:line="360" w:lineRule="auto"/>
        <w:ind w:left="426"/>
        <w:rPr>
          <w:rFonts w:cstheme="minorHAnsi"/>
          <w:sz w:val="24"/>
          <w:szCs w:val="24"/>
        </w:rPr>
      </w:pPr>
    </w:p>
    <w:p w14:paraId="1587279E" w14:textId="77777777" w:rsidR="00825A59" w:rsidRDefault="00825A59" w:rsidP="00825A59">
      <w:pPr>
        <w:pStyle w:val="Akapitzlist"/>
        <w:spacing w:after="0" w:line="360" w:lineRule="auto"/>
        <w:ind w:left="426"/>
        <w:rPr>
          <w:rFonts w:cstheme="minorHAnsi"/>
          <w:sz w:val="24"/>
          <w:szCs w:val="24"/>
        </w:rPr>
      </w:pPr>
    </w:p>
    <w:p w14:paraId="264E7962" w14:textId="77777777" w:rsidR="00825A59" w:rsidRDefault="00825A59" w:rsidP="00825A59">
      <w:pPr>
        <w:pStyle w:val="Akapitzlist"/>
        <w:spacing w:after="0" w:line="360" w:lineRule="auto"/>
        <w:ind w:left="426"/>
        <w:rPr>
          <w:rFonts w:cstheme="minorHAnsi"/>
          <w:sz w:val="24"/>
          <w:szCs w:val="24"/>
        </w:rPr>
      </w:pPr>
    </w:p>
    <w:p w14:paraId="5335D46E" w14:textId="77777777" w:rsidR="00825A59" w:rsidRDefault="00825A59" w:rsidP="00825A59">
      <w:pPr>
        <w:pStyle w:val="Akapitzlist"/>
        <w:spacing w:after="0" w:line="360" w:lineRule="auto"/>
        <w:ind w:left="426"/>
        <w:rPr>
          <w:rFonts w:cstheme="minorHAnsi"/>
          <w:sz w:val="24"/>
          <w:szCs w:val="24"/>
        </w:rPr>
      </w:pPr>
    </w:p>
    <w:p w14:paraId="1060C651" w14:textId="77777777" w:rsidR="00825A59" w:rsidRDefault="00825A59" w:rsidP="00825A59">
      <w:pPr>
        <w:pStyle w:val="Akapitzlist"/>
        <w:spacing w:after="0" w:line="360" w:lineRule="auto"/>
        <w:ind w:left="426"/>
        <w:rPr>
          <w:rFonts w:cstheme="minorHAnsi"/>
          <w:sz w:val="24"/>
          <w:szCs w:val="24"/>
        </w:rPr>
      </w:pPr>
    </w:p>
    <w:p w14:paraId="2D394B89" w14:textId="77777777" w:rsidR="00825A59" w:rsidRDefault="00825A59" w:rsidP="00825A59">
      <w:pPr>
        <w:pStyle w:val="Akapitzlist"/>
        <w:spacing w:after="0" w:line="360" w:lineRule="auto"/>
        <w:ind w:left="426"/>
        <w:rPr>
          <w:rFonts w:cstheme="minorHAnsi"/>
          <w:sz w:val="24"/>
          <w:szCs w:val="24"/>
        </w:rPr>
      </w:pPr>
    </w:p>
    <w:p w14:paraId="605A8B5F" w14:textId="293D4702" w:rsidR="001561D3" w:rsidRPr="005549A7" w:rsidRDefault="00C859D2" w:rsidP="0019554B">
      <w:pPr>
        <w:pStyle w:val="Nagwek2"/>
        <w:numPr>
          <w:ilvl w:val="0"/>
          <w:numId w:val="2"/>
        </w:numPr>
        <w:spacing w:line="360" w:lineRule="auto"/>
        <w:jc w:val="left"/>
        <w:rPr>
          <w:rFonts w:asciiTheme="minorHAnsi" w:hAnsiTheme="minorHAnsi" w:cstheme="minorHAnsi"/>
        </w:rPr>
      </w:pPr>
      <w:bookmarkStart w:id="1" w:name="_Toc170905487"/>
      <w:r w:rsidRPr="005549A7">
        <w:rPr>
          <w:rFonts w:asciiTheme="minorHAnsi" w:hAnsiTheme="minorHAnsi" w:cstheme="minorHAnsi"/>
        </w:rPr>
        <w:t>Ogólne informacje o Banku</w:t>
      </w:r>
      <w:bookmarkEnd w:id="1"/>
    </w:p>
    <w:p w14:paraId="605D57CE" w14:textId="1435DD57" w:rsidR="009C696B" w:rsidRPr="00165893" w:rsidRDefault="009C696B" w:rsidP="00165893">
      <w:pPr>
        <w:spacing w:after="0" w:line="360" w:lineRule="auto"/>
        <w:jc w:val="both"/>
        <w:rPr>
          <w:rFonts w:cstheme="minorHAnsi"/>
          <w:sz w:val="24"/>
          <w:szCs w:val="24"/>
        </w:rPr>
      </w:pPr>
      <w:r w:rsidRPr="00165893">
        <w:rPr>
          <w:rFonts w:cstheme="minorHAnsi"/>
          <w:sz w:val="24"/>
          <w:szCs w:val="24"/>
        </w:rPr>
        <w:t>Bank Spółdzielczy w Żywcu, siedziba: 34-300 Żywiec Rynek 23</w:t>
      </w:r>
      <w:r w:rsidR="0060057A" w:rsidRPr="00165893">
        <w:rPr>
          <w:rFonts w:cstheme="minorHAnsi"/>
          <w:sz w:val="24"/>
          <w:szCs w:val="24"/>
        </w:rPr>
        <w:t xml:space="preserve"> </w:t>
      </w:r>
      <w:r w:rsidRPr="00165893">
        <w:rPr>
          <w:rFonts w:cstheme="minorHAnsi"/>
          <w:sz w:val="24"/>
          <w:szCs w:val="24"/>
        </w:rPr>
        <w:t>(NIP 553-01-00-195) Wpis do Krajowego Rejestru Sądowego nastąpił dnia 05.07.2002 r. Sądu Rejonowego  w Bielsku – Białej VIII Wydział Gospodarczy  KRS  pod nr  0000121975.</w:t>
      </w:r>
    </w:p>
    <w:p w14:paraId="1803F810" w14:textId="77777777" w:rsidR="00E7591A" w:rsidRPr="00165893" w:rsidRDefault="00E7591A" w:rsidP="00165893">
      <w:pPr>
        <w:spacing w:after="0" w:line="360" w:lineRule="auto"/>
        <w:jc w:val="both"/>
        <w:rPr>
          <w:rFonts w:cstheme="minorHAnsi"/>
          <w:sz w:val="24"/>
          <w:szCs w:val="24"/>
        </w:rPr>
      </w:pPr>
      <w:r w:rsidRPr="00165893">
        <w:rPr>
          <w:rFonts w:cstheme="minorHAnsi"/>
          <w:sz w:val="24"/>
          <w:szCs w:val="24"/>
        </w:rPr>
        <w:t xml:space="preserve">Zgodnie z udzielonymi przez Komisję Nadzoru Finansowego zezwoleniami Bank prowadzi następującą działalność: przyjmowanie wkładów pieniężnych płatnych na każde żądanie lub z nadejściem oznaczonego terminu oraz prowadzenie rachunków tych wkładów, prowadzenie innych rachunków bankowych, udzielania kredytów, przeprowadzanie bankowych rozliczeń pieniężnych, udzielanie pożyczek pieniężnych, operacje czekowe i wekslowe, wydawanie kart płatniczych oraz wykonywanie operacji przy ich użyciu, nabywanie i zbywanie wierzytelności pieniężnych, pośredniczenie w dokonywaniu przekazów pieniężnych oraz rozliczeń w obrocie dewizowym. Obrót dewizowy oraz przekazy pieniężne dokonywane są za pośrednictwem Banku Zrzeszającego tj. BPS SA w Warszawie. </w:t>
      </w:r>
    </w:p>
    <w:p w14:paraId="68E7CD86" w14:textId="058A1BD2" w:rsidR="009C696B" w:rsidRDefault="009C696B" w:rsidP="00165893">
      <w:pPr>
        <w:spacing w:after="0" w:line="360" w:lineRule="auto"/>
        <w:jc w:val="both"/>
        <w:rPr>
          <w:rFonts w:cstheme="minorHAnsi"/>
          <w:sz w:val="24"/>
          <w:szCs w:val="24"/>
        </w:rPr>
      </w:pPr>
      <w:r w:rsidRPr="00165893">
        <w:rPr>
          <w:rFonts w:cstheme="minorHAnsi"/>
          <w:sz w:val="24"/>
          <w:szCs w:val="24"/>
        </w:rPr>
        <w:t>Zgodnie ze Statutem, Bank prowadzi działalność na terenie województwa  śląskiego oraz na terenie powiatów sąsiadujących: suskiego i wadowickiego  z terenu województwa małopolskiego.</w:t>
      </w:r>
    </w:p>
    <w:p w14:paraId="2FAB6F27" w14:textId="729A3C36" w:rsidR="007A36D1" w:rsidRPr="00EC1222" w:rsidRDefault="007A36D1" w:rsidP="00165893">
      <w:pPr>
        <w:spacing w:after="0" w:line="360" w:lineRule="auto"/>
        <w:jc w:val="both"/>
        <w:rPr>
          <w:rFonts w:cstheme="minorHAnsi"/>
          <w:sz w:val="24"/>
          <w:szCs w:val="24"/>
        </w:rPr>
      </w:pPr>
      <w:r w:rsidRPr="00EC1222">
        <w:rPr>
          <w:rFonts w:cstheme="minorHAnsi"/>
          <w:sz w:val="24"/>
          <w:szCs w:val="24"/>
        </w:rPr>
        <w:t>W 2025 roku Bank Spółdzielczy w Żywcu prowadził działalność poprzez jednostki organizacyjne:</w:t>
      </w:r>
    </w:p>
    <w:p w14:paraId="302C0678" w14:textId="2DAB8619" w:rsidR="007A36D1" w:rsidRPr="00EC1222" w:rsidRDefault="007A36D1" w:rsidP="007A36D1">
      <w:pPr>
        <w:pStyle w:val="Akapitzlist"/>
        <w:numPr>
          <w:ilvl w:val="0"/>
          <w:numId w:val="25"/>
        </w:numPr>
        <w:spacing w:after="0" w:line="360" w:lineRule="auto"/>
        <w:jc w:val="both"/>
        <w:rPr>
          <w:rFonts w:cstheme="minorHAnsi"/>
          <w:sz w:val="24"/>
          <w:szCs w:val="24"/>
        </w:rPr>
      </w:pPr>
      <w:r w:rsidRPr="00EC1222">
        <w:rPr>
          <w:rFonts w:cstheme="minorHAnsi"/>
          <w:sz w:val="24"/>
          <w:szCs w:val="24"/>
        </w:rPr>
        <w:t xml:space="preserve">Centralę </w:t>
      </w:r>
      <w:r w:rsidR="002C1E23" w:rsidRPr="00EC1222">
        <w:rPr>
          <w:rFonts w:cstheme="minorHAnsi"/>
          <w:sz w:val="24"/>
          <w:szCs w:val="24"/>
        </w:rPr>
        <w:t>Banku – Żywiec, Rynek 23</w:t>
      </w:r>
    </w:p>
    <w:p w14:paraId="5D87273C" w14:textId="21B3C8E2" w:rsidR="002C1E23" w:rsidRPr="00EC1222" w:rsidRDefault="002C1E23" w:rsidP="007A36D1">
      <w:pPr>
        <w:pStyle w:val="Akapitzlist"/>
        <w:numPr>
          <w:ilvl w:val="0"/>
          <w:numId w:val="25"/>
        </w:numPr>
        <w:spacing w:after="0" w:line="360" w:lineRule="auto"/>
        <w:jc w:val="both"/>
        <w:rPr>
          <w:rFonts w:cstheme="minorHAnsi"/>
          <w:sz w:val="24"/>
          <w:szCs w:val="24"/>
        </w:rPr>
      </w:pPr>
      <w:r w:rsidRPr="00EC1222">
        <w:rPr>
          <w:rFonts w:cstheme="minorHAnsi"/>
          <w:sz w:val="24"/>
          <w:szCs w:val="24"/>
        </w:rPr>
        <w:t>Punkt Kasowy w Żywcu ul. Dworcowa 23</w:t>
      </w:r>
    </w:p>
    <w:p w14:paraId="3815AA21" w14:textId="07A839AD" w:rsidR="002C1E23" w:rsidRPr="00EC1222" w:rsidRDefault="002C1E23" w:rsidP="002C1E23">
      <w:pPr>
        <w:pStyle w:val="Akapitzlist"/>
        <w:numPr>
          <w:ilvl w:val="0"/>
          <w:numId w:val="25"/>
        </w:numPr>
        <w:spacing w:after="0" w:line="360" w:lineRule="auto"/>
        <w:jc w:val="both"/>
        <w:rPr>
          <w:rFonts w:cstheme="minorHAnsi"/>
          <w:sz w:val="24"/>
          <w:szCs w:val="24"/>
        </w:rPr>
      </w:pPr>
      <w:r w:rsidRPr="00EC1222">
        <w:rPr>
          <w:rFonts w:cstheme="minorHAnsi"/>
          <w:sz w:val="24"/>
          <w:szCs w:val="24"/>
        </w:rPr>
        <w:t>Punkt Kasowy w Łodygowicach ul. Piłsudskiego 75</w:t>
      </w:r>
    </w:p>
    <w:p w14:paraId="322C7DF2" w14:textId="4D865A14" w:rsidR="002C1E23" w:rsidRPr="00EC1222" w:rsidRDefault="002C1E23" w:rsidP="002C1E23">
      <w:pPr>
        <w:pStyle w:val="Akapitzlist"/>
        <w:numPr>
          <w:ilvl w:val="0"/>
          <w:numId w:val="25"/>
        </w:numPr>
        <w:spacing w:after="0" w:line="360" w:lineRule="auto"/>
        <w:jc w:val="both"/>
        <w:rPr>
          <w:rFonts w:cstheme="minorHAnsi"/>
          <w:sz w:val="24"/>
          <w:szCs w:val="24"/>
        </w:rPr>
      </w:pPr>
      <w:r w:rsidRPr="00EC1222">
        <w:rPr>
          <w:rFonts w:cstheme="minorHAnsi"/>
          <w:sz w:val="24"/>
          <w:szCs w:val="24"/>
        </w:rPr>
        <w:t>Punkt Kasowy w Lipowej ul. Wiejska 44</w:t>
      </w:r>
    </w:p>
    <w:p w14:paraId="7006388C" w14:textId="6E436ADF" w:rsidR="002C1E23" w:rsidRPr="00EC1222" w:rsidRDefault="002C1E23" w:rsidP="002C1E23">
      <w:pPr>
        <w:pStyle w:val="Akapitzlist"/>
        <w:numPr>
          <w:ilvl w:val="0"/>
          <w:numId w:val="25"/>
        </w:numPr>
        <w:spacing w:after="0" w:line="360" w:lineRule="auto"/>
        <w:jc w:val="both"/>
        <w:rPr>
          <w:rFonts w:cstheme="minorHAnsi"/>
          <w:sz w:val="24"/>
          <w:szCs w:val="24"/>
        </w:rPr>
      </w:pPr>
      <w:r w:rsidRPr="00EC1222">
        <w:rPr>
          <w:rFonts w:cstheme="minorHAnsi"/>
          <w:sz w:val="24"/>
          <w:szCs w:val="24"/>
        </w:rPr>
        <w:t>Punkt Kasowy w Czernichowie Tresna ul. Żywiecka 2</w:t>
      </w:r>
    </w:p>
    <w:p w14:paraId="13F017E6" w14:textId="77777777" w:rsidR="00E50141" w:rsidRPr="00165893" w:rsidRDefault="00E50141" w:rsidP="00165893">
      <w:pPr>
        <w:pStyle w:val="Akapitzlist"/>
        <w:spacing w:after="0" w:line="360" w:lineRule="auto"/>
        <w:ind w:left="0"/>
        <w:jc w:val="both"/>
        <w:rPr>
          <w:rFonts w:cstheme="minorHAnsi"/>
          <w:sz w:val="24"/>
          <w:szCs w:val="24"/>
        </w:rPr>
      </w:pPr>
      <w:r w:rsidRPr="00EC1222">
        <w:rPr>
          <w:rFonts w:cstheme="minorHAnsi"/>
          <w:sz w:val="24"/>
          <w:szCs w:val="24"/>
        </w:rPr>
        <w:t xml:space="preserve">Oferta Banku skierowana jest do klientów detalicznych, małych </w:t>
      </w:r>
      <w:r w:rsidRPr="00165893">
        <w:rPr>
          <w:rFonts w:cstheme="minorHAnsi"/>
          <w:sz w:val="24"/>
          <w:szCs w:val="24"/>
        </w:rPr>
        <w:t>i średnich firm oraz rolników. Bank prowadzi obsługę budżetów gmin wiejskich, na terenie których posiada swoje placówki.</w:t>
      </w:r>
    </w:p>
    <w:p w14:paraId="5E8E23C2" w14:textId="0DFEC0EA" w:rsidR="00745A9E" w:rsidRPr="00165893" w:rsidRDefault="00745A9E" w:rsidP="00165893">
      <w:pPr>
        <w:pStyle w:val="Akapitzlist"/>
        <w:spacing w:after="0" w:line="360" w:lineRule="auto"/>
        <w:ind w:left="0"/>
        <w:jc w:val="both"/>
        <w:rPr>
          <w:rFonts w:cstheme="minorHAnsi"/>
          <w:sz w:val="24"/>
          <w:szCs w:val="24"/>
        </w:rPr>
      </w:pPr>
      <w:r w:rsidRPr="00165893">
        <w:rPr>
          <w:rFonts w:eastAsia="Times New Roman" w:cstheme="minorHAnsi"/>
          <w:sz w:val="24"/>
          <w:szCs w:val="24"/>
        </w:rPr>
        <w:t xml:space="preserve">Bank zrzeszony jest w Banku Polskiej Spółdzielczości S.A. na podstawie zawartej Umowy Zrzeszenia oraz jest uczestnikiem Systemu Ochrony Zrzeszenia BPS, zapewniającego wypłacalność oraz płynność jego </w:t>
      </w:r>
      <w:r w:rsidRPr="00165893">
        <w:rPr>
          <w:rFonts w:cstheme="minorHAnsi"/>
          <w:noProof/>
          <w:sz w:val="24"/>
          <w:szCs w:val="24"/>
        </w:rPr>
        <w:drawing>
          <wp:inline distT="0" distB="0" distL="0" distR="0" wp14:anchorId="013B9905" wp14:editId="6669F748">
            <wp:extent cx="6094" cy="6093"/>
            <wp:effectExtent l="0" t="0" r="0" b="0"/>
            <wp:docPr id="14713" name="Picture 14713"/>
            <wp:cNvGraphicFramePr/>
            <a:graphic xmlns:a="http://schemas.openxmlformats.org/drawingml/2006/main">
              <a:graphicData uri="http://schemas.openxmlformats.org/drawingml/2006/picture">
                <pic:pic xmlns:pic="http://schemas.openxmlformats.org/drawingml/2006/picture">
                  <pic:nvPicPr>
                    <pic:cNvPr id="14713" name="Picture 14713"/>
                    <pic:cNvPicPr/>
                  </pic:nvPicPr>
                  <pic:blipFill>
                    <a:blip r:embed="rId15"/>
                    <a:stretch>
                      <a:fillRect/>
                    </a:stretch>
                  </pic:blipFill>
                  <pic:spPr>
                    <a:xfrm>
                      <a:off x="0" y="0"/>
                      <a:ext cx="6094" cy="6093"/>
                    </a:xfrm>
                    <a:prstGeom prst="rect">
                      <a:avLst/>
                    </a:prstGeom>
                  </pic:spPr>
                </pic:pic>
              </a:graphicData>
            </a:graphic>
          </wp:inline>
        </w:drawing>
      </w:r>
      <w:r w:rsidRPr="00165893">
        <w:rPr>
          <w:rFonts w:cstheme="minorHAnsi"/>
          <w:noProof/>
          <w:sz w:val="24"/>
          <w:szCs w:val="24"/>
        </w:rPr>
        <w:drawing>
          <wp:inline distT="0" distB="0" distL="0" distR="0" wp14:anchorId="0A407448" wp14:editId="65B9950B">
            <wp:extent cx="6094" cy="6093"/>
            <wp:effectExtent l="0" t="0" r="0" b="0"/>
            <wp:docPr id="14714" name="Picture 14714"/>
            <wp:cNvGraphicFramePr/>
            <a:graphic xmlns:a="http://schemas.openxmlformats.org/drawingml/2006/main">
              <a:graphicData uri="http://schemas.openxmlformats.org/drawingml/2006/picture">
                <pic:pic xmlns:pic="http://schemas.openxmlformats.org/drawingml/2006/picture">
                  <pic:nvPicPr>
                    <pic:cNvPr id="14714" name="Picture 14714"/>
                    <pic:cNvPicPr/>
                  </pic:nvPicPr>
                  <pic:blipFill>
                    <a:blip r:embed="rId16"/>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uczestnikom.</w:t>
      </w:r>
    </w:p>
    <w:p w14:paraId="71CAC66D" w14:textId="77777777" w:rsidR="0086711C" w:rsidRPr="005549A7" w:rsidRDefault="0086711C" w:rsidP="00825A59">
      <w:pPr>
        <w:spacing w:after="0" w:line="360" w:lineRule="auto"/>
        <w:rPr>
          <w:rFonts w:cstheme="minorHAnsi"/>
          <w:sz w:val="24"/>
          <w:szCs w:val="24"/>
        </w:rPr>
      </w:pPr>
    </w:p>
    <w:p w14:paraId="4B12F4FD" w14:textId="77777777" w:rsidR="00667C7B" w:rsidRDefault="00667C7B" w:rsidP="00825A59">
      <w:pPr>
        <w:spacing w:after="0" w:line="360" w:lineRule="auto"/>
        <w:rPr>
          <w:rFonts w:ascii="Poppins" w:hAnsi="Poppins" w:cs="Poppins"/>
          <w:sz w:val="24"/>
        </w:rPr>
      </w:pPr>
    </w:p>
    <w:p w14:paraId="09F4ADAA" w14:textId="7D168BBA" w:rsidR="00E23AB3" w:rsidRPr="005549A7" w:rsidRDefault="00E23AB3" w:rsidP="00E23AB3">
      <w:pPr>
        <w:pStyle w:val="Nagwek2"/>
        <w:numPr>
          <w:ilvl w:val="0"/>
          <w:numId w:val="2"/>
        </w:numPr>
        <w:spacing w:line="360" w:lineRule="auto"/>
        <w:jc w:val="left"/>
        <w:rPr>
          <w:rFonts w:asciiTheme="minorHAnsi" w:hAnsiTheme="minorHAnsi" w:cstheme="minorHAnsi"/>
        </w:rPr>
      </w:pPr>
      <w:r>
        <w:rPr>
          <w:rFonts w:asciiTheme="minorHAnsi" w:hAnsiTheme="minorHAnsi" w:cstheme="minorHAnsi"/>
        </w:rPr>
        <w:lastRenderedPageBreak/>
        <w:t>Informacje ujawniane na podstawie art. 111a ust.1 Ustawy Prawo bankowe</w:t>
      </w:r>
    </w:p>
    <w:p w14:paraId="131158BA" w14:textId="77777777" w:rsidR="00E23AB3" w:rsidRPr="00E23AB3" w:rsidRDefault="00E23AB3" w:rsidP="00E23AB3">
      <w:pPr>
        <w:autoSpaceDE w:val="0"/>
        <w:autoSpaceDN w:val="0"/>
        <w:adjustRightInd w:val="0"/>
        <w:spacing w:after="0" w:line="360" w:lineRule="auto"/>
        <w:jc w:val="both"/>
        <w:rPr>
          <w:rFonts w:ascii="Calibri" w:hAnsi="Calibri" w:cs="Calibri"/>
          <w:color w:val="000000"/>
        </w:rPr>
      </w:pPr>
      <w:r w:rsidRPr="00E23AB3">
        <w:rPr>
          <w:rFonts w:ascii="Calibri" w:hAnsi="Calibri" w:cs="Calibri"/>
          <w:color w:val="000000"/>
        </w:rPr>
        <w:t xml:space="preserve">Na podstawie art. 111a ust. 1 Bank podaje do publicznej wiadomości: </w:t>
      </w:r>
    </w:p>
    <w:p w14:paraId="1B859085" w14:textId="5F87CBB8" w:rsidR="00E23AB3" w:rsidRPr="00E23AB3" w:rsidRDefault="00E23AB3" w:rsidP="00E23AB3">
      <w:pPr>
        <w:pStyle w:val="Akapitzlist"/>
        <w:autoSpaceDE w:val="0"/>
        <w:autoSpaceDN w:val="0"/>
        <w:adjustRightInd w:val="0"/>
        <w:spacing w:after="0" w:line="360" w:lineRule="auto"/>
        <w:ind w:left="0"/>
        <w:jc w:val="both"/>
        <w:rPr>
          <w:rFonts w:ascii="Calibri" w:hAnsi="Calibri" w:cs="Calibri"/>
          <w:color w:val="000000"/>
        </w:rPr>
      </w:pPr>
      <w:r w:rsidRPr="00E23AB3">
        <w:rPr>
          <w:rFonts w:ascii="Calibri" w:hAnsi="Calibri" w:cs="Calibri"/>
          <w:color w:val="000000"/>
        </w:rPr>
        <w:t xml:space="preserve">1) informacje o jego działalności poza terytorium Rzeczpospolitej Polskiej, w podziale na poszczególne państwa członkowskie i państwa trzecie, w których posiada podmioty zależne, na zasadzie skonsolidowanej w rozumieniu art. 4 ust. 1 pkt. 48 Rozporządzenia Parlamentu Europejskiego i Rady (UE) nr 575/2013 z dnia 26 czerwca 2013 r. za danych rok obrotowy – Bank Spółdzielczy w </w:t>
      </w:r>
      <w:r w:rsidR="000F209A">
        <w:rPr>
          <w:rFonts w:ascii="Calibri" w:hAnsi="Calibri" w:cs="Calibri"/>
          <w:color w:val="000000"/>
        </w:rPr>
        <w:t xml:space="preserve">Żywcu </w:t>
      </w:r>
      <w:r w:rsidRPr="00E23AB3">
        <w:rPr>
          <w:rFonts w:ascii="Calibri" w:hAnsi="Calibri" w:cs="Calibri"/>
          <w:color w:val="000000"/>
        </w:rPr>
        <w:t xml:space="preserve">nie prowadzi działalności poza terytorium Rzeczpospolitej Polskiej; </w:t>
      </w:r>
    </w:p>
    <w:p w14:paraId="6E05F397" w14:textId="2929176C" w:rsidR="00E23AB3" w:rsidRPr="00E23AB3" w:rsidRDefault="00E23AB3" w:rsidP="00E23AB3">
      <w:pPr>
        <w:pStyle w:val="Akapitzlist"/>
        <w:autoSpaceDE w:val="0"/>
        <w:autoSpaceDN w:val="0"/>
        <w:adjustRightInd w:val="0"/>
        <w:spacing w:after="0" w:line="360" w:lineRule="auto"/>
        <w:ind w:left="0"/>
        <w:jc w:val="both"/>
        <w:rPr>
          <w:rFonts w:ascii="Calibri" w:hAnsi="Calibri" w:cs="Calibri"/>
          <w:color w:val="000000"/>
        </w:rPr>
      </w:pPr>
      <w:r w:rsidRPr="00E23AB3">
        <w:rPr>
          <w:rFonts w:ascii="Calibri" w:hAnsi="Calibri" w:cs="Calibri"/>
          <w:color w:val="000000"/>
        </w:rPr>
        <w:t>2) informacje o stopie zwrotu z aktywów – stopa zwrotu z aktywów (ROA), obliczona jako iloraz zysku netto i sumy bilansowej, zawartych w zbadanym przez biegłego rewidenta sprawozdaniu finansowym Banku na dzień 31.12.202</w:t>
      </w:r>
      <w:r w:rsidR="000F209A">
        <w:rPr>
          <w:rFonts w:ascii="Calibri" w:hAnsi="Calibri" w:cs="Calibri"/>
          <w:color w:val="000000"/>
        </w:rPr>
        <w:t>5</w:t>
      </w:r>
      <w:r w:rsidRPr="00E23AB3">
        <w:rPr>
          <w:rFonts w:ascii="Calibri" w:hAnsi="Calibri" w:cs="Calibri"/>
          <w:color w:val="000000"/>
        </w:rPr>
        <w:t xml:space="preserve"> roku wyniosła </w:t>
      </w:r>
      <w:r w:rsidR="000F209A">
        <w:rPr>
          <w:rFonts w:ascii="Calibri" w:hAnsi="Calibri" w:cs="Calibri"/>
          <w:color w:val="000000"/>
        </w:rPr>
        <w:t>2,16</w:t>
      </w:r>
      <w:r w:rsidRPr="00E23AB3">
        <w:rPr>
          <w:rFonts w:ascii="Calibri" w:hAnsi="Calibri" w:cs="Calibri"/>
          <w:color w:val="000000"/>
        </w:rPr>
        <w:t xml:space="preserve"> %. </w:t>
      </w:r>
    </w:p>
    <w:p w14:paraId="755EC750" w14:textId="77777777" w:rsidR="00E23AB3" w:rsidRPr="00E23AB3" w:rsidRDefault="00E23AB3" w:rsidP="00E23AB3">
      <w:pPr>
        <w:pStyle w:val="Akapitzlist"/>
        <w:autoSpaceDE w:val="0"/>
        <w:autoSpaceDN w:val="0"/>
        <w:adjustRightInd w:val="0"/>
        <w:spacing w:after="0" w:line="360" w:lineRule="auto"/>
        <w:ind w:left="0"/>
        <w:jc w:val="both"/>
        <w:rPr>
          <w:rFonts w:ascii="Calibri" w:hAnsi="Calibri" w:cs="Calibri"/>
          <w:color w:val="000000"/>
        </w:rPr>
      </w:pPr>
      <w:r w:rsidRPr="00E23AB3">
        <w:rPr>
          <w:rFonts w:ascii="Calibri" w:hAnsi="Calibri" w:cs="Calibri"/>
          <w:color w:val="000000"/>
        </w:rPr>
        <w:t xml:space="preserve">3) informacje o zawarciu umowy, o której mowa w art. 141t ust. 1, stronach umowy, jej przedmiocie oraz kosztach, o ile działa w jednym z holdingów, o których mowa w art. 141f ust. 1 – Bank nie działa w holdingu i nie zawarł takiej umowy. </w:t>
      </w:r>
    </w:p>
    <w:p w14:paraId="56523B4B" w14:textId="2BB99778" w:rsidR="00E23AB3" w:rsidRPr="005549A7" w:rsidRDefault="00E23AB3" w:rsidP="00E23AB3">
      <w:pPr>
        <w:pStyle w:val="Nagwek2"/>
        <w:spacing w:line="360" w:lineRule="auto"/>
        <w:jc w:val="left"/>
        <w:rPr>
          <w:rFonts w:asciiTheme="minorHAnsi" w:hAnsiTheme="minorHAnsi" w:cstheme="minorHAnsi"/>
        </w:rPr>
      </w:pPr>
    </w:p>
    <w:p w14:paraId="0364AFE7" w14:textId="35DEC894" w:rsidR="00E50141" w:rsidRDefault="007143A7" w:rsidP="0019554B">
      <w:pPr>
        <w:pStyle w:val="Nagwek2"/>
        <w:numPr>
          <w:ilvl w:val="0"/>
          <w:numId w:val="2"/>
        </w:numPr>
        <w:spacing w:line="360" w:lineRule="auto"/>
        <w:jc w:val="left"/>
        <w:rPr>
          <w:rFonts w:ascii="Poppins" w:hAnsi="Poppins" w:cs="Poppins"/>
          <w:sz w:val="22"/>
          <w:szCs w:val="22"/>
        </w:rPr>
      </w:pPr>
      <w:bookmarkStart w:id="2" w:name="_Toc170905488"/>
      <w:r w:rsidRPr="007143A7">
        <w:rPr>
          <w:rFonts w:ascii="Poppins" w:hAnsi="Poppins" w:cs="Poppins"/>
          <w:sz w:val="22"/>
          <w:szCs w:val="22"/>
        </w:rPr>
        <w:t>Tabela EU KM1 – Najważniejsze wskaźniki</w:t>
      </w:r>
      <w:r w:rsidR="00606701">
        <w:rPr>
          <w:rFonts w:ascii="Poppins" w:hAnsi="Poppins" w:cs="Poppins"/>
          <w:sz w:val="22"/>
          <w:szCs w:val="22"/>
        </w:rPr>
        <w:t xml:space="preserve"> ( w tys. zł)</w:t>
      </w:r>
      <w:bookmarkEnd w:id="2"/>
    </w:p>
    <w:p w14:paraId="091F50FA" w14:textId="77777777" w:rsidR="00562028" w:rsidRDefault="00562028" w:rsidP="00825A59">
      <w:pPr>
        <w:spacing w:line="360" w:lineRule="auto"/>
        <w:rPr>
          <w:lang w:eastAsia="zh-CN"/>
        </w:rPr>
      </w:pPr>
    </w:p>
    <w:tbl>
      <w:tblPr>
        <w:tblW w:w="9923" w:type="dxa"/>
        <w:tblLayout w:type="fixed"/>
        <w:tblCellMar>
          <w:left w:w="70" w:type="dxa"/>
          <w:right w:w="70" w:type="dxa"/>
        </w:tblCellMar>
        <w:tblLook w:val="04A0" w:firstRow="1" w:lastRow="0" w:firstColumn="1" w:lastColumn="0" w:noHBand="0" w:noVBand="1"/>
      </w:tblPr>
      <w:tblGrid>
        <w:gridCol w:w="7776"/>
        <w:gridCol w:w="1081"/>
        <w:gridCol w:w="1066"/>
      </w:tblGrid>
      <w:tr w:rsidR="00562028" w:rsidRPr="00562028" w14:paraId="42B4DB30" w14:textId="77777777" w:rsidTr="00562028">
        <w:trPr>
          <w:trHeight w:val="300"/>
        </w:trPr>
        <w:tc>
          <w:tcPr>
            <w:tcW w:w="10580" w:type="dxa"/>
            <w:tcBorders>
              <w:top w:val="single" w:sz="4" w:space="0" w:color="auto"/>
              <w:left w:val="single" w:sz="4" w:space="0" w:color="auto"/>
              <w:bottom w:val="single" w:sz="4" w:space="0" w:color="auto"/>
              <w:right w:val="single" w:sz="4" w:space="0" w:color="auto"/>
            </w:tcBorders>
            <w:shd w:val="clear" w:color="000000" w:fill="CCFFCC"/>
            <w:hideMark/>
          </w:tcPr>
          <w:p w14:paraId="528B1FFA" w14:textId="77777777" w:rsidR="00562028" w:rsidRPr="00562028" w:rsidRDefault="00562028" w:rsidP="00825A59">
            <w:pPr>
              <w:spacing w:after="0" w:line="360" w:lineRule="auto"/>
              <w:rPr>
                <w:rFonts w:ascii="Calibri" w:eastAsia="Times New Roman" w:hAnsi="Calibri" w:cs="Calibri"/>
                <w:color w:val="000000"/>
                <w:lang w:eastAsia="pl-PL"/>
              </w:rPr>
            </w:pPr>
            <w:r w:rsidRPr="00562028">
              <w:rPr>
                <w:rFonts w:ascii="Calibri" w:eastAsia="Times New Roman" w:hAnsi="Calibri" w:cs="Calibri"/>
                <w:color w:val="000000"/>
                <w:lang w:eastAsia="pl-PL"/>
              </w:rPr>
              <w:t> </w:t>
            </w:r>
          </w:p>
        </w:tc>
        <w:tc>
          <w:tcPr>
            <w:tcW w:w="1420" w:type="dxa"/>
            <w:tcBorders>
              <w:top w:val="single" w:sz="4" w:space="0" w:color="auto"/>
              <w:left w:val="nil"/>
              <w:bottom w:val="single" w:sz="4" w:space="0" w:color="auto"/>
              <w:right w:val="single" w:sz="4" w:space="0" w:color="auto"/>
            </w:tcBorders>
            <w:shd w:val="clear" w:color="000000" w:fill="CCFFCC"/>
            <w:vAlign w:val="center"/>
            <w:hideMark/>
          </w:tcPr>
          <w:p w14:paraId="3E568D11" w14:textId="77777777" w:rsidR="00562028" w:rsidRPr="00562028" w:rsidRDefault="00562028" w:rsidP="00825A59">
            <w:pPr>
              <w:spacing w:after="0" w:line="360" w:lineRule="auto"/>
              <w:jc w:val="center"/>
              <w:rPr>
                <w:rFonts w:ascii="Calibri" w:eastAsia="Times New Roman" w:hAnsi="Calibri" w:cs="Calibri"/>
                <w:b/>
                <w:bCs/>
                <w:color w:val="000000"/>
                <w:sz w:val="18"/>
                <w:szCs w:val="18"/>
                <w:lang w:eastAsia="pl-PL"/>
              </w:rPr>
            </w:pPr>
            <w:r w:rsidRPr="00562028">
              <w:rPr>
                <w:rFonts w:ascii="Calibri" w:eastAsia="Times New Roman" w:hAnsi="Calibri" w:cs="Calibri"/>
                <w:b/>
                <w:bCs/>
                <w:color w:val="000000"/>
                <w:sz w:val="18"/>
                <w:szCs w:val="18"/>
                <w:lang w:eastAsia="pl-PL"/>
              </w:rPr>
              <w:t>31.12.2025</w:t>
            </w:r>
          </w:p>
        </w:tc>
        <w:tc>
          <w:tcPr>
            <w:tcW w:w="1400" w:type="dxa"/>
            <w:tcBorders>
              <w:top w:val="single" w:sz="4" w:space="0" w:color="auto"/>
              <w:left w:val="nil"/>
              <w:bottom w:val="single" w:sz="4" w:space="0" w:color="auto"/>
              <w:right w:val="single" w:sz="4" w:space="0" w:color="auto"/>
            </w:tcBorders>
            <w:shd w:val="clear" w:color="000000" w:fill="CCFFCC"/>
            <w:vAlign w:val="center"/>
            <w:hideMark/>
          </w:tcPr>
          <w:p w14:paraId="196E9773" w14:textId="77777777" w:rsidR="00562028" w:rsidRPr="00562028" w:rsidRDefault="00562028" w:rsidP="00825A59">
            <w:pPr>
              <w:spacing w:after="0" w:line="360" w:lineRule="auto"/>
              <w:jc w:val="center"/>
              <w:rPr>
                <w:rFonts w:ascii="Calibri" w:eastAsia="Times New Roman" w:hAnsi="Calibri" w:cs="Calibri"/>
                <w:b/>
                <w:bCs/>
                <w:color w:val="000000"/>
                <w:sz w:val="18"/>
                <w:szCs w:val="18"/>
                <w:lang w:eastAsia="pl-PL"/>
              </w:rPr>
            </w:pPr>
            <w:r w:rsidRPr="00562028">
              <w:rPr>
                <w:rFonts w:ascii="Calibri" w:eastAsia="Times New Roman" w:hAnsi="Calibri" w:cs="Calibri"/>
                <w:b/>
                <w:bCs/>
                <w:color w:val="000000"/>
                <w:sz w:val="18"/>
                <w:szCs w:val="18"/>
                <w:lang w:eastAsia="pl-PL"/>
              </w:rPr>
              <w:t>31.12.2024</w:t>
            </w:r>
          </w:p>
        </w:tc>
      </w:tr>
      <w:tr w:rsidR="00562028" w:rsidRPr="00562028" w14:paraId="2DEBB629"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2F49940F"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Dostępne fundusze własne (kwoty)</w:t>
            </w:r>
          </w:p>
        </w:tc>
        <w:tc>
          <w:tcPr>
            <w:tcW w:w="1420" w:type="dxa"/>
            <w:tcBorders>
              <w:top w:val="nil"/>
              <w:left w:val="nil"/>
              <w:bottom w:val="single" w:sz="4" w:space="0" w:color="auto"/>
              <w:right w:val="single" w:sz="4" w:space="0" w:color="auto"/>
            </w:tcBorders>
            <w:shd w:val="clear" w:color="000000" w:fill="C0C0C0"/>
            <w:noWrap/>
            <w:hideMark/>
          </w:tcPr>
          <w:p w14:paraId="34C1D233"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0AA9C4B3"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1E00AD9D"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46B80009"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1.Kapitał podstawowy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w:t>
            </w:r>
          </w:p>
        </w:tc>
        <w:tc>
          <w:tcPr>
            <w:tcW w:w="1420" w:type="dxa"/>
            <w:tcBorders>
              <w:top w:val="nil"/>
              <w:left w:val="nil"/>
              <w:bottom w:val="single" w:sz="4" w:space="0" w:color="auto"/>
              <w:right w:val="single" w:sz="4" w:space="0" w:color="auto"/>
            </w:tcBorders>
            <w:hideMark/>
          </w:tcPr>
          <w:p w14:paraId="1BE63B81"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35 021</w:t>
            </w:r>
          </w:p>
        </w:tc>
        <w:tc>
          <w:tcPr>
            <w:tcW w:w="1400" w:type="dxa"/>
            <w:tcBorders>
              <w:top w:val="nil"/>
              <w:left w:val="nil"/>
              <w:bottom w:val="single" w:sz="4" w:space="0" w:color="auto"/>
              <w:right w:val="single" w:sz="4" w:space="0" w:color="auto"/>
            </w:tcBorders>
            <w:hideMark/>
          </w:tcPr>
          <w:p w14:paraId="6A857C5B"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28 377</w:t>
            </w:r>
          </w:p>
        </w:tc>
      </w:tr>
      <w:tr w:rsidR="00562028" w:rsidRPr="00562028" w14:paraId="2574D76E"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B1131DC"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2.Kapitał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w:t>
            </w:r>
          </w:p>
        </w:tc>
        <w:tc>
          <w:tcPr>
            <w:tcW w:w="1420" w:type="dxa"/>
            <w:tcBorders>
              <w:top w:val="nil"/>
              <w:left w:val="nil"/>
              <w:bottom w:val="single" w:sz="4" w:space="0" w:color="auto"/>
              <w:right w:val="single" w:sz="4" w:space="0" w:color="auto"/>
            </w:tcBorders>
            <w:hideMark/>
          </w:tcPr>
          <w:p w14:paraId="7DB285E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35 021</w:t>
            </w:r>
          </w:p>
        </w:tc>
        <w:tc>
          <w:tcPr>
            <w:tcW w:w="1400" w:type="dxa"/>
            <w:tcBorders>
              <w:top w:val="nil"/>
              <w:left w:val="nil"/>
              <w:bottom w:val="single" w:sz="4" w:space="0" w:color="auto"/>
              <w:right w:val="single" w:sz="4" w:space="0" w:color="auto"/>
            </w:tcBorders>
            <w:hideMark/>
          </w:tcPr>
          <w:p w14:paraId="44C71B73"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28 377</w:t>
            </w:r>
          </w:p>
        </w:tc>
      </w:tr>
      <w:tr w:rsidR="00562028" w:rsidRPr="00562028" w14:paraId="60EA74BF"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E7969D6"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3.Łączny kapitał</w:t>
            </w:r>
          </w:p>
        </w:tc>
        <w:tc>
          <w:tcPr>
            <w:tcW w:w="1420" w:type="dxa"/>
            <w:tcBorders>
              <w:top w:val="nil"/>
              <w:left w:val="nil"/>
              <w:bottom w:val="single" w:sz="4" w:space="0" w:color="auto"/>
              <w:right w:val="single" w:sz="4" w:space="0" w:color="auto"/>
            </w:tcBorders>
            <w:hideMark/>
          </w:tcPr>
          <w:p w14:paraId="62DDE62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35 021</w:t>
            </w:r>
          </w:p>
        </w:tc>
        <w:tc>
          <w:tcPr>
            <w:tcW w:w="1400" w:type="dxa"/>
            <w:tcBorders>
              <w:top w:val="nil"/>
              <w:left w:val="nil"/>
              <w:bottom w:val="single" w:sz="4" w:space="0" w:color="auto"/>
              <w:right w:val="single" w:sz="4" w:space="0" w:color="auto"/>
            </w:tcBorders>
            <w:hideMark/>
          </w:tcPr>
          <w:p w14:paraId="75D3FEFF"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28 377</w:t>
            </w:r>
          </w:p>
        </w:tc>
      </w:tr>
      <w:tr w:rsidR="00562028" w:rsidRPr="00562028" w14:paraId="7DD02F93"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1D8DA3D2"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Kwoty ekspozycji ważonych ryzykiem</w:t>
            </w:r>
          </w:p>
        </w:tc>
        <w:tc>
          <w:tcPr>
            <w:tcW w:w="1420" w:type="dxa"/>
            <w:tcBorders>
              <w:top w:val="nil"/>
              <w:left w:val="nil"/>
              <w:bottom w:val="single" w:sz="4" w:space="0" w:color="auto"/>
              <w:right w:val="single" w:sz="4" w:space="0" w:color="auto"/>
            </w:tcBorders>
            <w:shd w:val="clear" w:color="000000" w:fill="C0C0C0"/>
            <w:noWrap/>
            <w:hideMark/>
          </w:tcPr>
          <w:p w14:paraId="5DD2805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6F9337CA"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1CBCD44A"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36BE0986"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4.Łączna kwota ekspozycji na ryzyko</w:t>
            </w:r>
          </w:p>
        </w:tc>
        <w:tc>
          <w:tcPr>
            <w:tcW w:w="1420" w:type="dxa"/>
            <w:tcBorders>
              <w:top w:val="nil"/>
              <w:left w:val="nil"/>
              <w:bottom w:val="single" w:sz="4" w:space="0" w:color="auto"/>
              <w:right w:val="single" w:sz="4" w:space="0" w:color="auto"/>
            </w:tcBorders>
            <w:hideMark/>
          </w:tcPr>
          <w:p w14:paraId="33801B8B"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103 935</w:t>
            </w:r>
          </w:p>
        </w:tc>
        <w:tc>
          <w:tcPr>
            <w:tcW w:w="1400" w:type="dxa"/>
            <w:tcBorders>
              <w:top w:val="nil"/>
              <w:left w:val="nil"/>
              <w:bottom w:val="single" w:sz="4" w:space="0" w:color="auto"/>
              <w:right w:val="single" w:sz="4" w:space="0" w:color="auto"/>
            </w:tcBorders>
            <w:hideMark/>
          </w:tcPr>
          <w:p w14:paraId="54AD705F"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122 105</w:t>
            </w:r>
          </w:p>
        </w:tc>
      </w:tr>
      <w:tr w:rsidR="00562028" w:rsidRPr="00562028" w14:paraId="435CEECF"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1328E451"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Współczynniki kapitałowe (jako odsetek kwoty ekspozycji ważonej ryzykiem)</w:t>
            </w:r>
          </w:p>
        </w:tc>
        <w:tc>
          <w:tcPr>
            <w:tcW w:w="1420" w:type="dxa"/>
            <w:tcBorders>
              <w:top w:val="nil"/>
              <w:left w:val="nil"/>
              <w:bottom w:val="single" w:sz="4" w:space="0" w:color="auto"/>
              <w:right w:val="single" w:sz="4" w:space="0" w:color="auto"/>
            </w:tcBorders>
            <w:shd w:val="clear" w:color="000000" w:fill="C0C0C0"/>
            <w:noWrap/>
            <w:hideMark/>
          </w:tcPr>
          <w:p w14:paraId="22CBAB3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7A73B11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5A34B9A0"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F424AFF"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5.Współczynnik kapitału podstawowego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 (%)</w:t>
            </w:r>
          </w:p>
        </w:tc>
        <w:tc>
          <w:tcPr>
            <w:tcW w:w="1420" w:type="dxa"/>
            <w:tcBorders>
              <w:top w:val="nil"/>
              <w:left w:val="nil"/>
              <w:bottom w:val="single" w:sz="4" w:space="0" w:color="auto"/>
              <w:right w:val="single" w:sz="4" w:space="0" w:color="auto"/>
            </w:tcBorders>
            <w:hideMark/>
          </w:tcPr>
          <w:p w14:paraId="0D4403A3"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33,7000</w:t>
            </w:r>
          </w:p>
        </w:tc>
        <w:tc>
          <w:tcPr>
            <w:tcW w:w="1400" w:type="dxa"/>
            <w:tcBorders>
              <w:top w:val="nil"/>
              <w:left w:val="nil"/>
              <w:bottom w:val="single" w:sz="4" w:space="0" w:color="auto"/>
              <w:right w:val="single" w:sz="4" w:space="0" w:color="auto"/>
            </w:tcBorders>
            <w:hideMark/>
          </w:tcPr>
          <w:p w14:paraId="054C4661"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23,2400</w:t>
            </w:r>
          </w:p>
        </w:tc>
      </w:tr>
      <w:tr w:rsidR="00562028" w:rsidRPr="00562028" w14:paraId="776AB987"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33C2066B"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5a.Nie dotyczy</w:t>
            </w:r>
          </w:p>
        </w:tc>
        <w:tc>
          <w:tcPr>
            <w:tcW w:w="1420" w:type="dxa"/>
            <w:tcBorders>
              <w:top w:val="nil"/>
              <w:left w:val="nil"/>
              <w:bottom w:val="single" w:sz="4" w:space="0" w:color="auto"/>
              <w:right w:val="single" w:sz="4" w:space="0" w:color="auto"/>
            </w:tcBorders>
            <w:shd w:val="clear" w:color="000000" w:fill="C0C0C0"/>
            <w:noWrap/>
            <w:hideMark/>
          </w:tcPr>
          <w:p w14:paraId="357D01CD"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17BAE187"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7A50952B"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45C66CE"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5b.Współczynnik kapitału podstawowego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I w oparciu o TREA bez uwzględnienia minimalnego progu kapitałowego (%)</w:t>
            </w:r>
          </w:p>
        </w:tc>
        <w:tc>
          <w:tcPr>
            <w:tcW w:w="1420" w:type="dxa"/>
            <w:tcBorders>
              <w:top w:val="nil"/>
              <w:left w:val="nil"/>
              <w:bottom w:val="single" w:sz="4" w:space="0" w:color="auto"/>
              <w:right w:val="single" w:sz="4" w:space="0" w:color="auto"/>
            </w:tcBorders>
            <w:hideMark/>
          </w:tcPr>
          <w:p w14:paraId="77E0C2ED"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0,0000</w:t>
            </w:r>
          </w:p>
        </w:tc>
        <w:tc>
          <w:tcPr>
            <w:tcW w:w="1400" w:type="dxa"/>
            <w:tcBorders>
              <w:top w:val="nil"/>
              <w:left w:val="nil"/>
              <w:bottom w:val="single" w:sz="4" w:space="0" w:color="auto"/>
              <w:right w:val="single" w:sz="4" w:space="0" w:color="auto"/>
            </w:tcBorders>
            <w:hideMark/>
          </w:tcPr>
          <w:p w14:paraId="04A2F2FD"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0,0000</w:t>
            </w:r>
          </w:p>
        </w:tc>
      </w:tr>
      <w:tr w:rsidR="00562028" w:rsidRPr="00562028" w14:paraId="689356B3"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0779AD8"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6.Współczynnik kapitału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 (%)</w:t>
            </w:r>
          </w:p>
        </w:tc>
        <w:tc>
          <w:tcPr>
            <w:tcW w:w="1420" w:type="dxa"/>
            <w:tcBorders>
              <w:top w:val="nil"/>
              <w:left w:val="nil"/>
              <w:bottom w:val="single" w:sz="4" w:space="0" w:color="auto"/>
              <w:right w:val="single" w:sz="4" w:space="0" w:color="auto"/>
            </w:tcBorders>
            <w:hideMark/>
          </w:tcPr>
          <w:p w14:paraId="077C0CA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33,7000</w:t>
            </w:r>
          </w:p>
        </w:tc>
        <w:tc>
          <w:tcPr>
            <w:tcW w:w="1400" w:type="dxa"/>
            <w:tcBorders>
              <w:top w:val="nil"/>
              <w:left w:val="nil"/>
              <w:bottom w:val="single" w:sz="4" w:space="0" w:color="auto"/>
              <w:right w:val="single" w:sz="4" w:space="0" w:color="auto"/>
            </w:tcBorders>
            <w:hideMark/>
          </w:tcPr>
          <w:p w14:paraId="3CFD9D9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23,2400</w:t>
            </w:r>
          </w:p>
        </w:tc>
      </w:tr>
      <w:tr w:rsidR="00562028" w:rsidRPr="00562028" w14:paraId="0F5F47E9"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7771F308"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6a.Nie dotyczy</w:t>
            </w:r>
          </w:p>
        </w:tc>
        <w:tc>
          <w:tcPr>
            <w:tcW w:w="1420" w:type="dxa"/>
            <w:tcBorders>
              <w:top w:val="nil"/>
              <w:left w:val="nil"/>
              <w:bottom w:val="single" w:sz="4" w:space="0" w:color="auto"/>
              <w:right w:val="single" w:sz="4" w:space="0" w:color="auto"/>
            </w:tcBorders>
            <w:shd w:val="clear" w:color="000000" w:fill="C0C0C0"/>
            <w:noWrap/>
            <w:hideMark/>
          </w:tcPr>
          <w:p w14:paraId="69856A39"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3E48F15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08D5D738"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5567D0D"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6b.Współczynnik kapitału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I w oparciu o TREA bez uwzględnienia minimalnego progu kapitałowego (%)</w:t>
            </w:r>
          </w:p>
        </w:tc>
        <w:tc>
          <w:tcPr>
            <w:tcW w:w="1420" w:type="dxa"/>
            <w:tcBorders>
              <w:top w:val="nil"/>
              <w:left w:val="nil"/>
              <w:bottom w:val="single" w:sz="4" w:space="0" w:color="auto"/>
              <w:right w:val="single" w:sz="4" w:space="0" w:color="auto"/>
            </w:tcBorders>
            <w:hideMark/>
          </w:tcPr>
          <w:p w14:paraId="72083988"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0,0000</w:t>
            </w:r>
          </w:p>
        </w:tc>
        <w:tc>
          <w:tcPr>
            <w:tcW w:w="1400" w:type="dxa"/>
            <w:tcBorders>
              <w:top w:val="nil"/>
              <w:left w:val="nil"/>
              <w:bottom w:val="single" w:sz="4" w:space="0" w:color="auto"/>
              <w:right w:val="single" w:sz="4" w:space="0" w:color="auto"/>
            </w:tcBorders>
            <w:hideMark/>
          </w:tcPr>
          <w:p w14:paraId="40940021"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0,0000</w:t>
            </w:r>
          </w:p>
        </w:tc>
      </w:tr>
      <w:tr w:rsidR="00562028" w:rsidRPr="00562028" w14:paraId="0FE1E2DE"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EAE4209"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7.Łączny współczynnik kapitałowy (%)</w:t>
            </w:r>
          </w:p>
        </w:tc>
        <w:tc>
          <w:tcPr>
            <w:tcW w:w="1420" w:type="dxa"/>
            <w:tcBorders>
              <w:top w:val="nil"/>
              <w:left w:val="nil"/>
              <w:bottom w:val="single" w:sz="4" w:space="0" w:color="auto"/>
              <w:right w:val="single" w:sz="4" w:space="0" w:color="auto"/>
            </w:tcBorders>
            <w:hideMark/>
          </w:tcPr>
          <w:p w14:paraId="4E27F9B5"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33,7000</w:t>
            </w:r>
          </w:p>
        </w:tc>
        <w:tc>
          <w:tcPr>
            <w:tcW w:w="1400" w:type="dxa"/>
            <w:tcBorders>
              <w:top w:val="nil"/>
              <w:left w:val="nil"/>
              <w:bottom w:val="single" w:sz="4" w:space="0" w:color="auto"/>
              <w:right w:val="single" w:sz="4" w:space="0" w:color="auto"/>
            </w:tcBorders>
            <w:hideMark/>
          </w:tcPr>
          <w:p w14:paraId="6EA3758F"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23,2400</w:t>
            </w:r>
          </w:p>
        </w:tc>
      </w:tr>
      <w:tr w:rsidR="00562028" w:rsidRPr="00562028" w14:paraId="63A39639"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67C9121F"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7a.Nie dotyczy</w:t>
            </w:r>
          </w:p>
        </w:tc>
        <w:tc>
          <w:tcPr>
            <w:tcW w:w="1420" w:type="dxa"/>
            <w:tcBorders>
              <w:top w:val="nil"/>
              <w:left w:val="nil"/>
              <w:bottom w:val="single" w:sz="4" w:space="0" w:color="auto"/>
              <w:right w:val="single" w:sz="4" w:space="0" w:color="auto"/>
            </w:tcBorders>
            <w:shd w:val="clear" w:color="000000" w:fill="C0C0C0"/>
            <w:noWrap/>
            <w:hideMark/>
          </w:tcPr>
          <w:p w14:paraId="27C9274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6AF567FF"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1A068A09"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5C6FAD3"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7b.Łączny współczynnik kapitałowy w oparciu o TREA bez uwzględnienia minimalnego progu kapitałowego (%)</w:t>
            </w:r>
          </w:p>
        </w:tc>
        <w:tc>
          <w:tcPr>
            <w:tcW w:w="1420" w:type="dxa"/>
            <w:tcBorders>
              <w:top w:val="nil"/>
              <w:left w:val="nil"/>
              <w:bottom w:val="single" w:sz="4" w:space="0" w:color="auto"/>
              <w:right w:val="single" w:sz="4" w:space="0" w:color="auto"/>
            </w:tcBorders>
            <w:hideMark/>
          </w:tcPr>
          <w:p w14:paraId="0D913CA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0,0000</w:t>
            </w:r>
          </w:p>
        </w:tc>
        <w:tc>
          <w:tcPr>
            <w:tcW w:w="1400" w:type="dxa"/>
            <w:tcBorders>
              <w:top w:val="nil"/>
              <w:left w:val="nil"/>
              <w:bottom w:val="single" w:sz="4" w:space="0" w:color="auto"/>
              <w:right w:val="single" w:sz="4" w:space="0" w:color="auto"/>
            </w:tcBorders>
            <w:hideMark/>
          </w:tcPr>
          <w:p w14:paraId="17CFCD60"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0,0000</w:t>
            </w:r>
          </w:p>
        </w:tc>
      </w:tr>
      <w:tr w:rsidR="00562028" w:rsidRPr="00562028" w14:paraId="3500D1FA"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07EA2A8E"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lastRenderedPageBreak/>
              <w:t>Dodatkowe wymogi w zakresie funduszy własnych w celu uwzględnienia ryzyka innego niż ryzyko nadmiernej dźwigni (jako odsetek kwoty ekspozycji ważonej ryzykiem)</w:t>
            </w:r>
          </w:p>
        </w:tc>
        <w:tc>
          <w:tcPr>
            <w:tcW w:w="1420" w:type="dxa"/>
            <w:tcBorders>
              <w:top w:val="nil"/>
              <w:left w:val="nil"/>
              <w:bottom w:val="single" w:sz="4" w:space="0" w:color="auto"/>
              <w:right w:val="single" w:sz="4" w:space="0" w:color="auto"/>
            </w:tcBorders>
            <w:shd w:val="clear" w:color="000000" w:fill="C0C0C0"/>
            <w:noWrap/>
            <w:hideMark/>
          </w:tcPr>
          <w:p w14:paraId="3D6F2E4D"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6D5019F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4FAAE01F"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7B8434F7"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 7d.Dodatkowe wymogi w zakresie funduszy własnych w celu uwzględnienia ryzyka innego niż ryzyko nadmiernej </w:t>
            </w:r>
            <w:proofErr w:type="spellStart"/>
            <w:r w:rsidRPr="00562028">
              <w:rPr>
                <w:rFonts w:ascii="Calibri" w:eastAsia="Times New Roman" w:hAnsi="Calibri" w:cs="Calibri"/>
                <w:color w:val="000000"/>
                <w:sz w:val="18"/>
                <w:szCs w:val="18"/>
                <w:lang w:eastAsia="pl-PL"/>
              </w:rPr>
              <w:t>dżwigni</w:t>
            </w:r>
            <w:proofErr w:type="spellEnd"/>
            <w:r w:rsidRPr="00562028">
              <w:rPr>
                <w:rFonts w:ascii="Calibri" w:eastAsia="Times New Roman" w:hAnsi="Calibri" w:cs="Calibri"/>
                <w:color w:val="000000"/>
                <w:sz w:val="18"/>
                <w:szCs w:val="18"/>
                <w:lang w:eastAsia="pl-PL"/>
              </w:rPr>
              <w:t xml:space="preserve"> (%)</w:t>
            </w:r>
          </w:p>
        </w:tc>
        <w:tc>
          <w:tcPr>
            <w:tcW w:w="1420" w:type="dxa"/>
            <w:tcBorders>
              <w:top w:val="nil"/>
              <w:left w:val="nil"/>
              <w:bottom w:val="single" w:sz="4" w:space="0" w:color="auto"/>
              <w:right w:val="single" w:sz="4" w:space="0" w:color="auto"/>
            </w:tcBorders>
            <w:noWrap/>
            <w:vAlign w:val="bottom"/>
            <w:hideMark/>
          </w:tcPr>
          <w:p w14:paraId="19F0DD1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485DC06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3E028E01"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6964E1A5"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 7e.W tym: obejmujące kapitał podstawowy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 (punkty procentowe)</w:t>
            </w:r>
          </w:p>
        </w:tc>
        <w:tc>
          <w:tcPr>
            <w:tcW w:w="1420" w:type="dxa"/>
            <w:tcBorders>
              <w:top w:val="nil"/>
              <w:left w:val="nil"/>
              <w:bottom w:val="single" w:sz="4" w:space="0" w:color="auto"/>
              <w:right w:val="single" w:sz="4" w:space="0" w:color="auto"/>
            </w:tcBorders>
            <w:noWrap/>
            <w:vAlign w:val="bottom"/>
            <w:hideMark/>
          </w:tcPr>
          <w:p w14:paraId="5E3175B8"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2A7DFA9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4F248EED"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30E8379"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 7f.W tym: obejmujące kapitał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 (punkty procentowe)</w:t>
            </w:r>
          </w:p>
        </w:tc>
        <w:tc>
          <w:tcPr>
            <w:tcW w:w="1420" w:type="dxa"/>
            <w:tcBorders>
              <w:top w:val="nil"/>
              <w:left w:val="nil"/>
              <w:bottom w:val="single" w:sz="4" w:space="0" w:color="auto"/>
              <w:right w:val="single" w:sz="4" w:space="0" w:color="auto"/>
            </w:tcBorders>
            <w:noWrap/>
            <w:vAlign w:val="bottom"/>
            <w:hideMark/>
          </w:tcPr>
          <w:p w14:paraId="5ED67AE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65357709"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2E0FF32E"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488C0133"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 7g.Łączne wymogi w zakresie funduszy własnych SREP (%)</w:t>
            </w:r>
          </w:p>
        </w:tc>
        <w:tc>
          <w:tcPr>
            <w:tcW w:w="1420" w:type="dxa"/>
            <w:tcBorders>
              <w:top w:val="nil"/>
              <w:left w:val="nil"/>
              <w:bottom w:val="single" w:sz="4" w:space="0" w:color="auto"/>
              <w:right w:val="single" w:sz="4" w:space="0" w:color="auto"/>
            </w:tcBorders>
            <w:noWrap/>
            <w:vAlign w:val="bottom"/>
            <w:hideMark/>
          </w:tcPr>
          <w:p w14:paraId="3E16D8F8"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8.0000</w:t>
            </w:r>
          </w:p>
        </w:tc>
        <w:tc>
          <w:tcPr>
            <w:tcW w:w="1400" w:type="dxa"/>
            <w:tcBorders>
              <w:top w:val="nil"/>
              <w:left w:val="nil"/>
              <w:bottom w:val="single" w:sz="4" w:space="0" w:color="auto"/>
              <w:right w:val="single" w:sz="4" w:space="0" w:color="auto"/>
            </w:tcBorders>
            <w:noWrap/>
            <w:vAlign w:val="bottom"/>
            <w:hideMark/>
          </w:tcPr>
          <w:p w14:paraId="0D8E7AF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8.0000</w:t>
            </w:r>
          </w:p>
        </w:tc>
      </w:tr>
      <w:tr w:rsidR="00562028" w:rsidRPr="00562028" w14:paraId="4B88CF7B"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34F0EDF3"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Wymóg połączonego bufora i łączne wymogi kapitałowe (jako odsetek kwoty ekspozycji ważonej ryzykiem)</w:t>
            </w:r>
          </w:p>
        </w:tc>
        <w:tc>
          <w:tcPr>
            <w:tcW w:w="1420" w:type="dxa"/>
            <w:tcBorders>
              <w:top w:val="nil"/>
              <w:left w:val="nil"/>
              <w:bottom w:val="single" w:sz="4" w:space="0" w:color="auto"/>
              <w:right w:val="single" w:sz="4" w:space="0" w:color="auto"/>
            </w:tcBorders>
            <w:shd w:val="clear" w:color="000000" w:fill="C0C0C0"/>
            <w:noWrap/>
            <w:hideMark/>
          </w:tcPr>
          <w:p w14:paraId="19E54CA3"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0CB9B607"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11A25E33"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A8C9093"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8.Bufor zabezpieczający (%)</w:t>
            </w:r>
          </w:p>
        </w:tc>
        <w:tc>
          <w:tcPr>
            <w:tcW w:w="1420" w:type="dxa"/>
            <w:tcBorders>
              <w:top w:val="nil"/>
              <w:left w:val="nil"/>
              <w:bottom w:val="single" w:sz="4" w:space="0" w:color="auto"/>
              <w:right w:val="single" w:sz="4" w:space="0" w:color="auto"/>
            </w:tcBorders>
            <w:noWrap/>
            <w:vAlign w:val="bottom"/>
            <w:hideMark/>
          </w:tcPr>
          <w:p w14:paraId="5D93510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2.5000</w:t>
            </w:r>
          </w:p>
        </w:tc>
        <w:tc>
          <w:tcPr>
            <w:tcW w:w="1400" w:type="dxa"/>
            <w:tcBorders>
              <w:top w:val="nil"/>
              <w:left w:val="nil"/>
              <w:bottom w:val="single" w:sz="4" w:space="0" w:color="auto"/>
              <w:right w:val="single" w:sz="4" w:space="0" w:color="auto"/>
            </w:tcBorders>
            <w:noWrap/>
            <w:vAlign w:val="bottom"/>
            <w:hideMark/>
          </w:tcPr>
          <w:p w14:paraId="7797B25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2.5000</w:t>
            </w:r>
          </w:p>
        </w:tc>
      </w:tr>
      <w:tr w:rsidR="00562028" w:rsidRPr="00562028" w14:paraId="4215C8FE" w14:textId="77777777" w:rsidTr="00562028">
        <w:trPr>
          <w:trHeight w:val="480"/>
        </w:trPr>
        <w:tc>
          <w:tcPr>
            <w:tcW w:w="10580" w:type="dxa"/>
            <w:tcBorders>
              <w:top w:val="nil"/>
              <w:left w:val="single" w:sz="4" w:space="0" w:color="auto"/>
              <w:bottom w:val="single" w:sz="4" w:space="0" w:color="auto"/>
              <w:right w:val="single" w:sz="4" w:space="0" w:color="auto"/>
            </w:tcBorders>
            <w:shd w:val="clear" w:color="000000" w:fill="CCFFCC"/>
            <w:hideMark/>
          </w:tcPr>
          <w:p w14:paraId="1D0477DD"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EU-8a.Bufor zabezpieczający wynikający z ryzyka </w:t>
            </w:r>
            <w:proofErr w:type="spellStart"/>
            <w:r w:rsidRPr="00562028">
              <w:rPr>
                <w:rFonts w:ascii="Calibri" w:eastAsia="Times New Roman" w:hAnsi="Calibri" w:cs="Calibri"/>
                <w:color w:val="000000"/>
                <w:sz w:val="18"/>
                <w:szCs w:val="18"/>
                <w:lang w:eastAsia="pl-PL"/>
              </w:rPr>
              <w:t>makroostrożnościowego</w:t>
            </w:r>
            <w:proofErr w:type="spellEnd"/>
            <w:r w:rsidRPr="00562028">
              <w:rPr>
                <w:rFonts w:ascii="Calibri" w:eastAsia="Times New Roman" w:hAnsi="Calibri" w:cs="Calibri"/>
                <w:color w:val="000000"/>
                <w:sz w:val="18"/>
                <w:szCs w:val="18"/>
                <w:lang w:eastAsia="pl-PL"/>
              </w:rPr>
              <w:t xml:space="preserve"> lub ryzyka systemowego zidentyfikowanego na poziomie państwa członkowskiego (%)</w:t>
            </w:r>
          </w:p>
        </w:tc>
        <w:tc>
          <w:tcPr>
            <w:tcW w:w="1420" w:type="dxa"/>
            <w:tcBorders>
              <w:top w:val="nil"/>
              <w:left w:val="nil"/>
              <w:bottom w:val="single" w:sz="4" w:space="0" w:color="auto"/>
              <w:right w:val="single" w:sz="4" w:space="0" w:color="auto"/>
            </w:tcBorders>
            <w:noWrap/>
            <w:vAlign w:val="bottom"/>
            <w:hideMark/>
          </w:tcPr>
          <w:p w14:paraId="4F7708A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24934DA0"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3CAB6ECB"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8CC9841"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9.Specyficzny dla instytucji bufor antycykliczny (%)</w:t>
            </w:r>
          </w:p>
        </w:tc>
        <w:tc>
          <w:tcPr>
            <w:tcW w:w="1420" w:type="dxa"/>
            <w:tcBorders>
              <w:top w:val="nil"/>
              <w:left w:val="nil"/>
              <w:bottom w:val="single" w:sz="4" w:space="0" w:color="auto"/>
              <w:right w:val="single" w:sz="4" w:space="0" w:color="auto"/>
            </w:tcBorders>
            <w:hideMark/>
          </w:tcPr>
          <w:p w14:paraId="3BF9E99A"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1,00</w:t>
            </w:r>
          </w:p>
        </w:tc>
        <w:tc>
          <w:tcPr>
            <w:tcW w:w="1400" w:type="dxa"/>
            <w:tcBorders>
              <w:top w:val="nil"/>
              <w:left w:val="nil"/>
              <w:bottom w:val="single" w:sz="4" w:space="0" w:color="auto"/>
              <w:right w:val="single" w:sz="4" w:space="0" w:color="auto"/>
            </w:tcBorders>
            <w:noWrap/>
            <w:vAlign w:val="bottom"/>
            <w:hideMark/>
          </w:tcPr>
          <w:p w14:paraId="7D8399AD"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08ED20E3"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7C63FC9"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EU-9a.Bufor ryzyka systemowego (%)</w:t>
            </w:r>
          </w:p>
        </w:tc>
        <w:tc>
          <w:tcPr>
            <w:tcW w:w="1420" w:type="dxa"/>
            <w:tcBorders>
              <w:top w:val="nil"/>
              <w:left w:val="nil"/>
              <w:bottom w:val="single" w:sz="4" w:space="0" w:color="auto"/>
              <w:right w:val="single" w:sz="4" w:space="0" w:color="auto"/>
            </w:tcBorders>
            <w:noWrap/>
            <w:vAlign w:val="bottom"/>
            <w:hideMark/>
          </w:tcPr>
          <w:p w14:paraId="2B89B3E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5CC83D8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36042E68"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C136AD3"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10.Bufor globalnych instytucji o znaczeniu systemowym (%)</w:t>
            </w:r>
          </w:p>
        </w:tc>
        <w:tc>
          <w:tcPr>
            <w:tcW w:w="1420" w:type="dxa"/>
            <w:tcBorders>
              <w:top w:val="nil"/>
              <w:left w:val="nil"/>
              <w:bottom w:val="single" w:sz="4" w:space="0" w:color="auto"/>
              <w:right w:val="single" w:sz="4" w:space="0" w:color="auto"/>
            </w:tcBorders>
            <w:noWrap/>
            <w:vAlign w:val="bottom"/>
            <w:hideMark/>
          </w:tcPr>
          <w:p w14:paraId="5FF5E9A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7810C28A"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4497FBDF"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9751270"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EU-10a.Bufor innych instytucji o znaczeniu systemowym (%)</w:t>
            </w:r>
          </w:p>
        </w:tc>
        <w:tc>
          <w:tcPr>
            <w:tcW w:w="1420" w:type="dxa"/>
            <w:tcBorders>
              <w:top w:val="nil"/>
              <w:left w:val="nil"/>
              <w:bottom w:val="single" w:sz="4" w:space="0" w:color="auto"/>
              <w:right w:val="single" w:sz="4" w:space="0" w:color="auto"/>
            </w:tcBorders>
            <w:noWrap/>
            <w:vAlign w:val="bottom"/>
            <w:hideMark/>
          </w:tcPr>
          <w:p w14:paraId="7B51378A"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75CC95B3"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17E88FB5"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5A67FFE"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11.Wymóg połączonego bufora (%)</w:t>
            </w:r>
          </w:p>
        </w:tc>
        <w:tc>
          <w:tcPr>
            <w:tcW w:w="1420" w:type="dxa"/>
            <w:tcBorders>
              <w:top w:val="nil"/>
              <w:left w:val="nil"/>
              <w:bottom w:val="single" w:sz="4" w:space="0" w:color="auto"/>
              <w:right w:val="single" w:sz="4" w:space="0" w:color="auto"/>
            </w:tcBorders>
            <w:hideMark/>
          </w:tcPr>
          <w:p w14:paraId="2F88EEEB"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3,50</w:t>
            </w:r>
          </w:p>
        </w:tc>
        <w:tc>
          <w:tcPr>
            <w:tcW w:w="1400" w:type="dxa"/>
            <w:tcBorders>
              <w:top w:val="nil"/>
              <w:left w:val="nil"/>
              <w:bottom w:val="single" w:sz="4" w:space="0" w:color="auto"/>
              <w:right w:val="single" w:sz="4" w:space="0" w:color="auto"/>
            </w:tcBorders>
            <w:hideMark/>
          </w:tcPr>
          <w:p w14:paraId="3342775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2,50</w:t>
            </w:r>
          </w:p>
        </w:tc>
      </w:tr>
      <w:tr w:rsidR="00562028" w:rsidRPr="00562028" w14:paraId="554361D5"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4FDDE373"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EU-11a.Łączne wymogi kapitałowe (%)</w:t>
            </w:r>
          </w:p>
        </w:tc>
        <w:tc>
          <w:tcPr>
            <w:tcW w:w="1420" w:type="dxa"/>
            <w:tcBorders>
              <w:top w:val="nil"/>
              <w:left w:val="nil"/>
              <w:bottom w:val="single" w:sz="4" w:space="0" w:color="auto"/>
              <w:right w:val="single" w:sz="4" w:space="0" w:color="auto"/>
            </w:tcBorders>
            <w:noWrap/>
            <w:vAlign w:val="bottom"/>
            <w:hideMark/>
          </w:tcPr>
          <w:p w14:paraId="0E6BA4A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11.5000</w:t>
            </w:r>
          </w:p>
        </w:tc>
        <w:tc>
          <w:tcPr>
            <w:tcW w:w="1400" w:type="dxa"/>
            <w:tcBorders>
              <w:top w:val="nil"/>
              <w:left w:val="nil"/>
              <w:bottom w:val="single" w:sz="4" w:space="0" w:color="auto"/>
              <w:right w:val="single" w:sz="4" w:space="0" w:color="auto"/>
            </w:tcBorders>
            <w:noWrap/>
            <w:vAlign w:val="bottom"/>
            <w:hideMark/>
          </w:tcPr>
          <w:p w14:paraId="5299118E"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10,5</w:t>
            </w:r>
          </w:p>
        </w:tc>
      </w:tr>
      <w:tr w:rsidR="00562028" w:rsidRPr="00562028" w14:paraId="41AF1542"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50CFBC7"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12.Kapitał podstawowy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 dostępny po spełnieniu łącznych wymogów w zakresie funduszy własnych SREP (%)</w:t>
            </w:r>
          </w:p>
        </w:tc>
        <w:tc>
          <w:tcPr>
            <w:tcW w:w="1420" w:type="dxa"/>
            <w:tcBorders>
              <w:top w:val="nil"/>
              <w:left w:val="nil"/>
              <w:bottom w:val="single" w:sz="4" w:space="0" w:color="auto"/>
              <w:right w:val="single" w:sz="4" w:space="0" w:color="auto"/>
            </w:tcBorders>
            <w:hideMark/>
          </w:tcPr>
          <w:p w14:paraId="2E23BB2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25,7000</w:t>
            </w:r>
          </w:p>
        </w:tc>
        <w:tc>
          <w:tcPr>
            <w:tcW w:w="1400" w:type="dxa"/>
            <w:tcBorders>
              <w:top w:val="nil"/>
              <w:left w:val="nil"/>
              <w:bottom w:val="single" w:sz="4" w:space="0" w:color="auto"/>
              <w:right w:val="single" w:sz="4" w:space="0" w:color="auto"/>
            </w:tcBorders>
            <w:hideMark/>
          </w:tcPr>
          <w:p w14:paraId="2BCF103F"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18,0900</w:t>
            </w:r>
          </w:p>
        </w:tc>
      </w:tr>
      <w:tr w:rsidR="00562028" w:rsidRPr="00562028" w14:paraId="746C8C9C"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74CF4CAE"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Wskaźnik dźwigni</w:t>
            </w:r>
          </w:p>
        </w:tc>
        <w:tc>
          <w:tcPr>
            <w:tcW w:w="1420" w:type="dxa"/>
            <w:tcBorders>
              <w:top w:val="nil"/>
              <w:left w:val="nil"/>
              <w:bottom w:val="single" w:sz="4" w:space="0" w:color="auto"/>
              <w:right w:val="single" w:sz="4" w:space="0" w:color="auto"/>
            </w:tcBorders>
            <w:shd w:val="clear" w:color="000000" w:fill="C0C0C0"/>
            <w:noWrap/>
            <w:hideMark/>
          </w:tcPr>
          <w:p w14:paraId="4FBDA8E5"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3A05326F"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482A660D"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35B3709"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13.Miara ekspozycji całkowitej</w:t>
            </w:r>
          </w:p>
        </w:tc>
        <w:tc>
          <w:tcPr>
            <w:tcW w:w="1420" w:type="dxa"/>
            <w:tcBorders>
              <w:top w:val="nil"/>
              <w:left w:val="nil"/>
              <w:bottom w:val="single" w:sz="4" w:space="0" w:color="auto"/>
              <w:right w:val="single" w:sz="4" w:space="0" w:color="auto"/>
            </w:tcBorders>
            <w:hideMark/>
          </w:tcPr>
          <w:p w14:paraId="5D5AF935"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316 994</w:t>
            </w:r>
          </w:p>
        </w:tc>
        <w:tc>
          <w:tcPr>
            <w:tcW w:w="1400" w:type="dxa"/>
            <w:tcBorders>
              <w:top w:val="nil"/>
              <w:left w:val="nil"/>
              <w:bottom w:val="single" w:sz="4" w:space="0" w:color="auto"/>
              <w:right w:val="single" w:sz="4" w:space="0" w:color="auto"/>
            </w:tcBorders>
            <w:hideMark/>
          </w:tcPr>
          <w:p w14:paraId="06175527"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275 141</w:t>
            </w:r>
          </w:p>
        </w:tc>
      </w:tr>
      <w:tr w:rsidR="00562028" w:rsidRPr="00562028" w14:paraId="34835BEF"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D99D2FF"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14.Wskaźnik dźwigni (%)</w:t>
            </w:r>
          </w:p>
        </w:tc>
        <w:tc>
          <w:tcPr>
            <w:tcW w:w="1420" w:type="dxa"/>
            <w:tcBorders>
              <w:top w:val="nil"/>
              <w:left w:val="nil"/>
              <w:bottom w:val="single" w:sz="4" w:space="0" w:color="auto"/>
              <w:right w:val="single" w:sz="4" w:space="0" w:color="auto"/>
            </w:tcBorders>
            <w:hideMark/>
          </w:tcPr>
          <w:p w14:paraId="3140450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11,0500</w:t>
            </w:r>
          </w:p>
        </w:tc>
        <w:tc>
          <w:tcPr>
            <w:tcW w:w="1400" w:type="dxa"/>
            <w:tcBorders>
              <w:top w:val="nil"/>
              <w:left w:val="nil"/>
              <w:bottom w:val="single" w:sz="4" w:space="0" w:color="auto"/>
              <w:right w:val="single" w:sz="4" w:space="0" w:color="auto"/>
            </w:tcBorders>
            <w:hideMark/>
          </w:tcPr>
          <w:p w14:paraId="09A5B0F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10,3100</w:t>
            </w:r>
          </w:p>
        </w:tc>
      </w:tr>
      <w:tr w:rsidR="00562028" w:rsidRPr="00562028" w14:paraId="7CD251FB"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2E6AB5FE"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Dodatkowe wymogi w zakresie funduszy własnych w celu uwzględnienia ryzyka nadmiernej dźwigni finansowej (jako odsetek miary ekspozycji całkowitej)</w:t>
            </w:r>
          </w:p>
        </w:tc>
        <w:tc>
          <w:tcPr>
            <w:tcW w:w="1420" w:type="dxa"/>
            <w:tcBorders>
              <w:top w:val="nil"/>
              <w:left w:val="nil"/>
              <w:bottom w:val="single" w:sz="4" w:space="0" w:color="auto"/>
              <w:right w:val="single" w:sz="4" w:space="0" w:color="auto"/>
            </w:tcBorders>
            <w:shd w:val="clear" w:color="000000" w:fill="C0C0C0"/>
            <w:noWrap/>
            <w:hideMark/>
          </w:tcPr>
          <w:p w14:paraId="4ED4A6C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4F0E90B5"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258998E7"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2BA00F68"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EU-14a.Dodatkowe wymogi w zakresie funduszy własnych w celu uwzględnienia ryzyka nadmiernej dźwigni finansowej (%)</w:t>
            </w:r>
          </w:p>
        </w:tc>
        <w:tc>
          <w:tcPr>
            <w:tcW w:w="1420" w:type="dxa"/>
            <w:tcBorders>
              <w:top w:val="nil"/>
              <w:left w:val="nil"/>
              <w:bottom w:val="single" w:sz="4" w:space="0" w:color="auto"/>
              <w:right w:val="single" w:sz="4" w:space="0" w:color="auto"/>
            </w:tcBorders>
            <w:noWrap/>
            <w:vAlign w:val="bottom"/>
            <w:hideMark/>
          </w:tcPr>
          <w:p w14:paraId="367BE11F"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49784205"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790956D5"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2ABB9CA7"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EU-14b.W tym: obejmujące kapitał podstawowy </w:t>
            </w:r>
            <w:proofErr w:type="spellStart"/>
            <w:r w:rsidRPr="00562028">
              <w:rPr>
                <w:rFonts w:ascii="Calibri" w:eastAsia="Times New Roman" w:hAnsi="Calibri" w:cs="Calibri"/>
                <w:color w:val="000000"/>
                <w:sz w:val="18"/>
                <w:szCs w:val="18"/>
                <w:lang w:eastAsia="pl-PL"/>
              </w:rPr>
              <w:t>Tier</w:t>
            </w:r>
            <w:proofErr w:type="spellEnd"/>
            <w:r w:rsidRPr="00562028">
              <w:rPr>
                <w:rFonts w:ascii="Calibri" w:eastAsia="Times New Roman" w:hAnsi="Calibri" w:cs="Calibri"/>
                <w:color w:val="000000"/>
                <w:sz w:val="18"/>
                <w:szCs w:val="18"/>
                <w:lang w:eastAsia="pl-PL"/>
              </w:rPr>
              <w:t xml:space="preserve"> 1 (punkty procentowe)</w:t>
            </w:r>
          </w:p>
        </w:tc>
        <w:tc>
          <w:tcPr>
            <w:tcW w:w="1420" w:type="dxa"/>
            <w:tcBorders>
              <w:top w:val="nil"/>
              <w:left w:val="nil"/>
              <w:bottom w:val="single" w:sz="4" w:space="0" w:color="auto"/>
              <w:right w:val="single" w:sz="4" w:space="0" w:color="auto"/>
            </w:tcBorders>
            <w:noWrap/>
            <w:vAlign w:val="bottom"/>
            <w:hideMark/>
          </w:tcPr>
          <w:p w14:paraId="7A757820"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078E4C14"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5EC69951"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765512BA"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EU-14c.Łączne wymogi w zakresie wskaźnika dźwigni SREP (%)</w:t>
            </w:r>
          </w:p>
        </w:tc>
        <w:tc>
          <w:tcPr>
            <w:tcW w:w="1420" w:type="dxa"/>
            <w:tcBorders>
              <w:top w:val="nil"/>
              <w:left w:val="nil"/>
              <w:bottom w:val="single" w:sz="4" w:space="0" w:color="auto"/>
              <w:right w:val="single" w:sz="4" w:space="0" w:color="auto"/>
            </w:tcBorders>
            <w:noWrap/>
            <w:vAlign w:val="bottom"/>
            <w:hideMark/>
          </w:tcPr>
          <w:p w14:paraId="38BC5265" w14:textId="77777777" w:rsidR="00562028" w:rsidRPr="00562028" w:rsidRDefault="00562028" w:rsidP="00580882">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3,0000</w:t>
            </w:r>
          </w:p>
        </w:tc>
        <w:tc>
          <w:tcPr>
            <w:tcW w:w="1400" w:type="dxa"/>
            <w:tcBorders>
              <w:top w:val="nil"/>
              <w:left w:val="nil"/>
              <w:bottom w:val="single" w:sz="4" w:space="0" w:color="auto"/>
              <w:right w:val="single" w:sz="4" w:space="0" w:color="auto"/>
            </w:tcBorders>
            <w:noWrap/>
            <w:vAlign w:val="bottom"/>
            <w:hideMark/>
          </w:tcPr>
          <w:p w14:paraId="2BB1CB07" w14:textId="77777777" w:rsidR="00562028" w:rsidRPr="00562028" w:rsidRDefault="00562028" w:rsidP="00580882">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3,0000</w:t>
            </w:r>
          </w:p>
        </w:tc>
      </w:tr>
      <w:tr w:rsidR="00562028" w:rsidRPr="00562028" w14:paraId="4F244F4C"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03F4A719"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Bufor wskaźnika dźwigni i łączny wymóg w zakresie wskaźnika dźwigni (jako odsetek miary ekspozycji całkowitej)</w:t>
            </w:r>
          </w:p>
        </w:tc>
        <w:tc>
          <w:tcPr>
            <w:tcW w:w="1420" w:type="dxa"/>
            <w:tcBorders>
              <w:top w:val="nil"/>
              <w:left w:val="nil"/>
              <w:bottom w:val="single" w:sz="4" w:space="0" w:color="auto"/>
              <w:right w:val="single" w:sz="4" w:space="0" w:color="auto"/>
            </w:tcBorders>
            <w:shd w:val="clear" w:color="000000" w:fill="C0C0C0"/>
            <w:noWrap/>
            <w:hideMark/>
          </w:tcPr>
          <w:p w14:paraId="5BBB286C"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360A95DF"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2F28F1AF"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3F02F4CB"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EU-14d.Wymóg w zakresie bufora wskaźnika dźwigni (%)</w:t>
            </w:r>
          </w:p>
        </w:tc>
        <w:tc>
          <w:tcPr>
            <w:tcW w:w="1420" w:type="dxa"/>
            <w:tcBorders>
              <w:top w:val="nil"/>
              <w:left w:val="nil"/>
              <w:bottom w:val="single" w:sz="4" w:space="0" w:color="auto"/>
              <w:right w:val="single" w:sz="4" w:space="0" w:color="auto"/>
            </w:tcBorders>
            <w:noWrap/>
            <w:vAlign w:val="bottom"/>
            <w:hideMark/>
          </w:tcPr>
          <w:p w14:paraId="6F75F5F2"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c>
          <w:tcPr>
            <w:tcW w:w="1400" w:type="dxa"/>
            <w:tcBorders>
              <w:top w:val="nil"/>
              <w:left w:val="nil"/>
              <w:bottom w:val="single" w:sz="4" w:space="0" w:color="auto"/>
              <w:right w:val="single" w:sz="4" w:space="0" w:color="auto"/>
            </w:tcBorders>
            <w:noWrap/>
            <w:vAlign w:val="bottom"/>
            <w:hideMark/>
          </w:tcPr>
          <w:p w14:paraId="1B693BD4"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t>
            </w:r>
          </w:p>
        </w:tc>
      </w:tr>
      <w:tr w:rsidR="00562028" w:rsidRPr="00562028" w14:paraId="1A0F68C0"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0CC8CDB"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EU-14e.Łączny wymóg w zakresie wskaźnika dźwigni (%)</w:t>
            </w:r>
          </w:p>
        </w:tc>
        <w:tc>
          <w:tcPr>
            <w:tcW w:w="1420" w:type="dxa"/>
            <w:tcBorders>
              <w:top w:val="nil"/>
              <w:left w:val="nil"/>
              <w:bottom w:val="single" w:sz="4" w:space="0" w:color="auto"/>
              <w:right w:val="single" w:sz="4" w:space="0" w:color="auto"/>
            </w:tcBorders>
            <w:noWrap/>
            <w:vAlign w:val="bottom"/>
            <w:hideMark/>
          </w:tcPr>
          <w:p w14:paraId="524495EF" w14:textId="77777777" w:rsidR="00562028" w:rsidRPr="00562028" w:rsidRDefault="00562028" w:rsidP="00580882">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3,0000</w:t>
            </w:r>
          </w:p>
        </w:tc>
        <w:tc>
          <w:tcPr>
            <w:tcW w:w="1400" w:type="dxa"/>
            <w:tcBorders>
              <w:top w:val="nil"/>
              <w:left w:val="nil"/>
              <w:bottom w:val="single" w:sz="4" w:space="0" w:color="auto"/>
              <w:right w:val="single" w:sz="4" w:space="0" w:color="auto"/>
            </w:tcBorders>
            <w:noWrap/>
            <w:vAlign w:val="bottom"/>
            <w:hideMark/>
          </w:tcPr>
          <w:p w14:paraId="2C38CCA4" w14:textId="77777777" w:rsidR="00562028" w:rsidRPr="00562028" w:rsidRDefault="00562028" w:rsidP="00580882">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3,0000</w:t>
            </w:r>
          </w:p>
        </w:tc>
      </w:tr>
      <w:tr w:rsidR="00562028" w:rsidRPr="00562028" w14:paraId="483EBF2C"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5C3257ED"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Wskaźnik pokrycia wypływów netto</w:t>
            </w:r>
          </w:p>
        </w:tc>
        <w:tc>
          <w:tcPr>
            <w:tcW w:w="1420" w:type="dxa"/>
            <w:tcBorders>
              <w:top w:val="nil"/>
              <w:left w:val="nil"/>
              <w:bottom w:val="single" w:sz="4" w:space="0" w:color="auto"/>
              <w:right w:val="single" w:sz="4" w:space="0" w:color="auto"/>
            </w:tcBorders>
            <w:shd w:val="clear" w:color="000000" w:fill="C0C0C0"/>
            <w:noWrap/>
            <w:hideMark/>
          </w:tcPr>
          <w:p w14:paraId="1264188F"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250EEA49"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2ABE18DE"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2A38CDDB"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15.Aktywa płynne wysokiej jakości (HQLA) ogółem (wartość ważona - średnia)</w:t>
            </w:r>
          </w:p>
        </w:tc>
        <w:tc>
          <w:tcPr>
            <w:tcW w:w="1420" w:type="dxa"/>
            <w:tcBorders>
              <w:top w:val="nil"/>
              <w:left w:val="nil"/>
              <w:bottom w:val="single" w:sz="4" w:space="0" w:color="auto"/>
              <w:right w:val="single" w:sz="4" w:space="0" w:color="auto"/>
            </w:tcBorders>
            <w:hideMark/>
          </w:tcPr>
          <w:p w14:paraId="603E205A"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190 228</w:t>
            </w:r>
          </w:p>
        </w:tc>
        <w:tc>
          <w:tcPr>
            <w:tcW w:w="1400" w:type="dxa"/>
            <w:tcBorders>
              <w:top w:val="nil"/>
              <w:left w:val="nil"/>
              <w:bottom w:val="single" w:sz="4" w:space="0" w:color="auto"/>
              <w:right w:val="single" w:sz="4" w:space="0" w:color="auto"/>
            </w:tcBorders>
            <w:hideMark/>
          </w:tcPr>
          <w:p w14:paraId="4A6BF5B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153 285</w:t>
            </w:r>
          </w:p>
        </w:tc>
      </w:tr>
      <w:tr w:rsidR="00562028" w:rsidRPr="00562028" w14:paraId="4A14EDDE"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59CCB6A4"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EU-16a.Wypływy środków pieniężnych - Całkowita wartość ważona</w:t>
            </w:r>
          </w:p>
        </w:tc>
        <w:tc>
          <w:tcPr>
            <w:tcW w:w="1420" w:type="dxa"/>
            <w:tcBorders>
              <w:top w:val="nil"/>
              <w:left w:val="nil"/>
              <w:bottom w:val="single" w:sz="4" w:space="0" w:color="auto"/>
              <w:right w:val="single" w:sz="4" w:space="0" w:color="auto"/>
            </w:tcBorders>
            <w:hideMark/>
          </w:tcPr>
          <w:p w14:paraId="1D87A20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48 000</w:t>
            </w:r>
          </w:p>
        </w:tc>
        <w:tc>
          <w:tcPr>
            <w:tcW w:w="1400" w:type="dxa"/>
            <w:tcBorders>
              <w:top w:val="nil"/>
              <w:left w:val="nil"/>
              <w:bottom w:val="single" w:sz="4" w:space="0" w:color="auto"/>
              <w:right w:val="single" w:sz="4" w:space="0" w:color="auto"/>
            </w:tcBorders>
            <w:hideMark/>
          </w:tcPr>
          <w:p w14:paraId="7760727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39 107</w:t>
            </w:r>
          </w:p>
        </w:tc>
      </w:tr>
      <w:tr w:rsidR="00562028" w:rsidRPr="00562028" w14:paraId="17B4948C"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FF62A01"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EU-16b.Wpływy środków pieniężnych - Całkowita wartość ważona</w:t>
            </w:r>
          </w:p>
        </w:tc>
        <w:tc>
          <w:tcPr>
            <w:tcW w:w="1420" w:type="dxa"/>
            <w:tcBorders>
              <w:top w:val="nil"/>
              <w:left w:val="nil"/>
              <w:bottom w:val="single" w:sz="4" w:space="0" w:color="auto"/>
              <w:right w:val="single" w:sz="4" w:space="0" w:color="auto"/>
            </w:tcBorders>
            <w:hideMark/>
          </w:tcPr>
          <w:p w14:paraId="41B61F5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2 559</w:t>
            </w:r>
          </w:p>
        </w:tc>
        <w:tc>
          <w:tcPr>
            <w:tcW w:w="1400" w:type="dxa"/>
            <w:tcBorders>
              <w:top w:val="nil"/>
              <w:left w:val="nil"/>
              <w:bottom w:val="single" w:sz="4" w:space="0" w:color="auto"/>
              <w:right w:val="single" w:sz="4" w:space="0" w:color="auto"/>
            </w:tcBorders>
            <w:hideMark/>
          </w:tcPr>
          <w:p w14:paraId="02DDF2B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4 564</w:t>
            </w:r>
          </w:p>
        </w:tc>
      </w:tr>
      <w:tr w:rsidR="00562028" w:rsidRPr="00562028" w14:paraId="2F2DB3F0"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5B37856"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16.Wypływ środków pieniężnych netto ogółem (wartość skorygowana)</w:t>
            </w:r>
          </w:p>
        </w:tc>
        <w:tc>
          <w:tcPr>
            <w:tcW w:w="1420" w:type="dxa"/>
            <w:tcBorders>
              <w:top w:val="nil"/>
              <w:left w:val="nil"/>
              <w:bottom w:val="single" w:sz="4" w:space="0" w:color="auto"/>
              <w:right w:val="single" w:sz="4" w:space="0" w:color="auto"/>
            </w:tcBorders>
            <w:hideMark/>
          </w:tcPr>
          <w:p w14:paraId="511C2B9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45 441</w:t>
            </w:r>
          </w:p>
        </w:tc>
        <w:tc>
          <w:tcPr>
            <w:tcW w:w="1400" w:type="dxa"/>
            <w:tcBorders>
              <w:top w:val="nil"/>
              <w:left w:val="nil"/>
              <w:bottom w:val="single" w:sz="4" w:space="0" w:color="auto"/>
              <w:right w:val="single" w:sz="4" w:space="0" w:color="auto"/>
            </w:tcBorders>
            <w:hideMark/>
          </w:tcPr>
          <w:p w14:paraId="40C05FF3"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34 543</w:t>
            </w:r>
          </w:p>
        </w:tc>
      </w:tr>
      <w:tr w:rsidR="00562028" w:rsidRPr="00562028" w14:paraId="31B991BA"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075CBCAE"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17.Wskaźnik pokrycia wypływów netto (%)</w:t>
            </w:r>
          </w:p>
        </w:tc>
        <w:tc>
          <w:tcPr>
            <w:tcW w:w="1420" w:type="dxa"/>
            <w:tcBorders>
              <w:top w:val="nil"/>
              <w:left w:val="nil"/>
              <w:bottom w:val="single" w:sz="4" w:space="0" w:color="auto"/>
              <w:right w:val="single" w:sz="4" w:space="0" w:color="auto"/>
            </w:tcBorders>
            <w:hideMark/>
          </w:tcPr>
          <w:p w14:paraId="0BBF256C"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418,6289</w:t>
            </w:r>
          </w:p>
        </w:tc>
        <w:tc>
          <w:tcPr>
            <w:tcW w:w="1400" w:type="dxa"/>
            <w:tcBorders>
              <w:top w:val="nil"/>
              <w:left w:val="nil"/>
              <w:bottom w:val="single" w:sz="4" w:space="0" w:color="auto"/>
              <w:right w:val="single" w:sz="4" w:space="0" w:color="auto"/>
            </w:tcBorders>
            <w:hideMark/>
          </w:tcPr>
          <w:p w14:paraId="3F0B5B47"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449,9700</w:t>
            </w:r>
          </w:p>
        </w:tc>
      </w:tr>
      <w:tr w:rsidR="00562028" w:rsidRPr="00562028" w14:paraId="385E820C"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BFBFBF"/>
            <w:hideMark/>
          </w:tcPr>
          <w:p w14:paraId="37186BBB"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Wskaźnik stabilnego finansowania netto</w:t>
            </w:r>
          </w:p>
        </w:tc>
        <w:tc>
          <w:tcPr>
            <w:tcW w:w="1420" w:type="dxa"/>
            <w:tcBorders>
              <w:top w:val="nil"/>
              <w:left w:val="nil"/>
              <w:bottom w:val="single" w:sz="4" w:space="0" w:color="auto"/>
              <w:right w:val="single" w:sz="4" w:space="0" w:color="auto"/>
            </w:tcBorders>
            <w:shd w:val="clear" w:color="000000" w:fill="C0C0C0"/>
            <w:noWrap/>
            <w:hideMark/>
          </w:tcPr>
          <w:p w14:paraId="3EE9B2A2"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c>
          <w:tcPr>
            <w:tcW w:w="1400" w:type="dxa"/>
            <w:tcBorders>
              <w:top w:val="nil"/>
              <w:left w:val="nil"/>
              <w:bottom w:val="single" w:sz="4" w:space="0" w:color="auto"/>
              <w:right w:val="single" w:sz="4" w:space="0" w:color="auto"/>
            </w:tcBorders>
            <w:shd w:val="clear" w:color="000000" w:fill="C0C0C0"/>
            <w:noWrap/>
            <w:hideMark/>
          </w:tcPr>
          <w:p w14:paraId="2676D88E" w14:textId="77777777" w:rsidR="00562028" w:rsidRPr="00562028" w:rsidRDefault="00562028" w:rsidP="00825A59">
            <w:pPr>
              <w:spacing w:after="0" w:line="360" w:lineRule="auto"/>
              <w:jc w:val="center"/>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w:t>
            </w:r>
          </w:p>
        </w:tc>
      </w:tr>
      <w:tr w:rsidR="00562028" w:rsidRPr="00562028" w14:paraId="3D63F08F"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CAFE49F"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18.Dostępne stabilne finansowanie ogółem</w:t>
            </w:r>
          </w:p>
        </w:tc>
        <w:tc>
          <w:tcPr>
            <w:tcW w:w="1420" w:type="dxa"/>
            <w:tcBorders>
              <w:top w:val="nil"/>
              <w:left w:val="nil"/>
              <w:bottom w:val="single" w:sz="4" w:space="0" w:color="auto"/>
              <w:right w:val="single" w:sz="4" w:space="0" w:color="auto"/>
            </w:tcBorders>
            <w:hideMark/>
          </w:tcPr>
          <w:p w14:paraId="22E26E9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259 771,94</w:t>
            </w:r>
          </w:p>
        </w:tc>
        <w:tc>
          <w:tcPr>
            <w:tcW w:w="1400" w:type="dxa"/>
            <w:tcBorders>
              <w:top w:val="nil"/>
              <w:left w:val="nil"/>
              <w:bottom w:val="single" w:sz="4" w:space="0" w:color="auto"/>
              <w:right w:val="single" w:sz="4" w:space="0" w:color="auto"/>
            </w:tcBorders>
            <w:hideMark/>
          </w:tcPr>
          <w:p w14:paraId="63B8A377"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239 731,00</w:t>
            </w:r>
          </w:p>
        </w:tc>
      </w:tr>
      <w:tr w:rsidR="00562028" w:rsidRPr="00562028" w14:paraId="0BAA290E"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3E10801B"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lastRenderedPageBreak/>
              <w:t xml:space="preserve">   19.Wymagane stabilne finansowanie ogółem</w:t>
            </w:r>
          </w:p>
        </w:tc>
        <w:tc>
          <w:tcPr>
            <w:tcW w:w="1420" w:type="dxa"/>
            <w:tcBorders>
              <w:top w:val="nil"/>
              <w:left w:val="nil"/>
              <w:bottom w:val="single" w:sz="4" w:space="0" w:color="auto"/>
              <w:right w:val="single" w:sz="4" w:space="0" w:color="auto"/>
            </w:tcBorders>
            <w:hideMark/>
          </w:tcPr>
          <w:p w14:paraId="1A0F63B4"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96 121,51</w:t>
            </w:r>
          </w:p>
        </w:tc>
        <w:tc>
          <w:tcPr>
            <w:tcW w:w="1400" w:type="dxa"/>
            <w:tcBorders>
              <w:top w:val="nil"/>
              <w:left w:val="nil"/>
              <w:bottom w:val="single" w:sz="4" w:space="0" w:color="auto"/>
              <w:right w:val="single" w:sz="4" w:space="0" w:color="auto"/>
            </w:tcBorders>
            <w:hideMark/>
          </w:tcPr>
          <w:p w14:paraId="5B70A656"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85 577,74</w:t>
            </w:r>
          </w:p>
        </w:tc>
      </w:tr>
      <w:tr w:rsidR="00562028" w:rsidRPr="00562028" w14:paraId="510D5171" w14:textId="77777777" w:rsidTr="00562028">
        <w:trPr>
          <w:trHeight w:val="300"/>
        </w:trPr>
        <w:tc>
          <w:tcPr>
            <w:tcW w:w="10580" w:type="dxa"/>
            <w:tcBorders>
              <w:top w:val="nil"/>
              <w:left w:val="single" w:sz="4" w:space="0" w:color="auto"/>
              <w:bottom w:val="single" w:sz="4" w:space="0" w:color="auto"/>
              <w:right w:val="single" w:sz="4" w:space="0" w:color="auto"/>
            </w:tcBorders>
            <w:shd w:val="clear" w:color="000000" w:fill="CCFFCC"/>
            <w:hideMark/>
          </w:tcPr>
          <w:p w14:paraId="19F5C293" w14:textId="77777777" w:rsidR="00562028" w:rsidRPr="00562028" w:rsidRDefault="00562028" w:rsidP="00825A59">
            <w:pPr>
              <w:spacing w:after="0" w:line="360" w:lineRule="auto"/>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 xml:space="preserve">   20.Wskaźnik stabilnego finansowania</w:t>
            </w:r>
          </w:p>
        </w:tc>
        <w:tc>
          <w:tcPr>
            <w:tcW w:w="1420" w:type="dxa"/>
            <w:tcBorders>
              <w:top w:val="nil"/>
              <w:left w:val="nil"/>
              <w:bottom w:val="single" w:sz="4" w:space="0" w:color="auto"/>
              <w:right w:val="single" w:sz="4" w:space="0" w:color="auto"/>
            </w:tcBorders>
            <w:hideMark/>
          </w:tcPr>
          <w:p w14:paraId="043635A2"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270,25</w:t>
            </w:r>
          </w:p>
        </w:tc>
        <w:tc>
          <w:tcPr>
            <w:tcW w:w="1400" w:type="dxa"/>
            <w:tcBorders>
              <w:top w:val="nil"/>
              <w:left w:val="nil"/>
              <w:bottom w:val="single" w:sz="4" w:space="0" w:color="auto"/>
              <w:right w:val="single" w:sz="4" w:space="0" w:color="auto"/>
            </w:tcBorders>
            <w:hideMark/>
          </w:tcPr>
          <w:p w14:paraId="2EB42C1E" w14:textId="77777777" w:rsidR="00562028" w:rsidRPr="00562028" w:rsidRDefault="00562028" w:rsidP="00825A59">
            <w:pPr>
              <w:spacing w:after="0" w:line="360" w:lineRule="auto"/>
              <w:jc w:val="right"/>
              <w:rPr>
                <w:rFonts w:ascii="Calibri" w:eastAsia="Times New Roman" w:hAnsi="Calibri" w:cs="Calibri"/>
                <w:color w:val="000000"/>
                <w:sz w:val="18"/>
                <w:szCs w:val="18"/>
                <w:lang w:eastAsia="pl-PL"/>
              </w:rPr>
            </w:pPr>
            <w:r w:rsidRPr="00562028">
              <w:rPr>
                <w:rFonts w:ascii="Calibri" w:eastAsia="Times New Roman" w:hAnsi="Calibri" w:cs="Calibri"/>
                <w:color w:val="000000"/>
                <w:sz w:val="18"/>
                <w:szCs w:val="18"/>
                <w:lang w:eastAsia="pl-PL"/>
              </w:rPr>
              <w:t>280,13</w:t>
            </w:r>
          </w:p>
        </w:tc>
      </w:tr>
    </w:tbl>
    <w:p w14:paraId="64225F13" w14:textId="77777777" w:rsidR="00562028" w:rsidRPr="00927C88" w:rsidRDefault="00562028" w:rsidP="00825A59">
      <w:pPr>
        <w:spacing w:line="360" w:lineRule="auto"/>
        <w:rPr>
          <w:rFonts w:cstheme="minorHAnsi"/>
          <w:sz w:val="24"/>
          <w:szCs w:val="24"/>
          <w:lang w:eastAsia="zh-CN"/>
        </w:rPr>
      </w:pPr>
    </w:p>
    <w:p w14:paraId="5DB71762" w14:textId="740CD9EA" w:rsidR="00927C88" w:rsidRPr="00165893" w:rsidRDefault="00927C88" w:rsidP="00165893">
      <w:pPr>
        <w:spacing w:line="360" w:lineRule="auto"/>
        <w:jc w:val="both"/>
        <w:rPr>
          <w:rFonts w:eastAsia="Times New Roman" w:cstheme="minorHAnsi"/>
          <w:sz w:val="24"/>
          <w:szCs w:val="24"/>
        </w:rPr>
      </w:pPr>
      <w:r w:rsidRPr="00165893">
        <w:rPr>
          <w:rFonts w:eastAsia="Times New Roman" w:cstheme="minorHAnsi"/>
          <w:sz w:val="24"/>
          <w:szCs w:val="24"/>
        </w:rPr>
        <w:t>Bank jako uczestnik systemu ochrony instytucjonalnej jest zwolniony z indywidualnego spełniania wym</w:t>
      </w:r>
      <w:r w:rsidR="00E47A5E" w:rsidRPr="00165893">
        <w:rPr>
          <w:rFonts w:eastAsia="Times New Roman" w:cstheme="minorHAnsi"/>
          <w:sz w:val="24"/>
          <w:szCs w:val="24"/>
        </w:rPr>
        <w:t>o</w:t>
      </w:r>
      <w:r w:rsidRPr="00165893">
        <w:rPr>
          <w:rFonts w:eastAsia="Times New Roman" w:cstheme="minorHAnsi"/>
          <w:sz w:val="24"/>
          <w:szCs w:val="24"/>
        </w:rPr>
        <w:t>gu pokrycia płynności.</w:t>
      </w:r>
    </w:p>
    <w:p w14:paraId="3F869294" w14:textId="5D67E906" w:rsidR="00927C88" w:rsidRPr="00165893" w:rsidRDefault="00927C88" w:rsidP="00165893">
      <w:pPr>
        <w:spacing w:line="360" w:lineRule="auto"/>
        <w:jc w:val="both"/>
        <w:rPr>
          <w:rFonts w:cstheme="minorHAnsi"/>
          <w:sz w:val="24"/>
          <w:szCs w:val="24"/>
          <w:lang w:eastAsia="zh-CN"/>
        </w:rPr>
      </w:pPr>
      <w:r w:rsidRPr="00165893">
        <w:rPr>
          <w:rFonts w:eastAsia="Times New Roman" w:cstheme="minorHAnsi"/>
          <w:sz w:val="24"/>
          <w:szCs w:val="24"/>
        </w:rPr>
        <w:t>Bank ujawnia info</w:t>
      </w:r>
      <w:r w:rsidR="00E47A5E" w:rsidRPr="00165893">
        <w:rPr>
          <w:rFonts w:eastAsia="Times New Roman" w:cstheme="minorHAnsi"/>
          <w:sz w:val="24"/>
          <w:szCs w:val="24"/>
        </w:rPr>
        <w:t>rm</w:t>
      </w:r>
      <w:r w:rsidRPr="00165893">
        <w:rPr>
          <w:rFonts w:eastAsia="Times New Roman" w:cstheme="minorHAnsi"/>
          <w:sz w:val="24"/>
          <w:szCs w:val="24"/>
        </w:rPr>
        <w:t>acje za okresy T (tj. dane za bieżący okres - 31.12.br.) i T-4 (tj. dane sprzed roku - 31.12. ub.r.)</w:t>
      </w:r>
    </w:p>
    <w:p w14:paraId="640875D7" w14:textId="77777777" w:rsidR="00562028" w:rsidRPr="00165893" w:rsidRDefault="00562028" w:rsidP="00165893">
      <w:pPr>
        <w:spacing w:line="360" w:lineRule="auto"/>
        <w:ind w:right="14"/>
        <w:jc w:val="both"/>
        <w:rPr>
          <w:rFonts w:eastAsia="Times New Roman" w:cstheme="minorHAnsi"/>
          <w:sz w:val="24"/>
          <w:szCs w:val="24"/>
        </w:rPr>
      </w:pPr>
      <w:r w:rsidRPr="00165893">
        <w:rPr>
          <w:rFonts w:eastAsia="Times New Roman" w:cstheme="minorHAnsi"/>
          <w:sz w:val="24"/>
          <w:szCs w:val="24"/>
        </w:rPr>
        <w:t>Dostępne fundusze własne (pozycja 1-3) - Zapewniając bezpieczeństwo ekonomiczne, Bank utrzymuje fundusze własne dostosowane do rozmiaru prowadzonej działalności tj. na poziomie zapewniającym stabilną sytuację ekonomiczną. Są one wyznacznikiem poziomu stabilności finansowej Banku oraz stanowią zabezpieczenie w przypadku poniesienia ewentualnych strat.</w:t>
      </w:r>
    </w:p>
    <w:p w14:paraId="4481C161" w14:textId="16C4F5D8" w:rsidR="00562028" w:rsidRPr="00165893" w:rsidRDefault="00825A59" w:rsidP="00165893">
      <w:pPr>
        <w:spacing w:line="360" w:lineRule="auto"/>
        <w:ind w:left="14" w:right="14"/>
        <w:jc w:val="both"/>
        <w:rPr>
          <w:rFonts w:cstheme="minorHAnsi"/>
          <w:sz w:val="24"/>
          <w:szCs w:val="24"/>
        </w:rPr>
      </w:pPr>
      <w:r w:rsidRPr="00165893">
        <w:rPr>
          <w:rFonts w:eastAsia="Times New Roman" w:cstheme="minorHAnsi"/>
          <w:sz w:val="24"/>
          <w:szCs w:val="24"/>
        </w:rPr>
        <w:t>Ł</w:t>
      </w:r>
      <w:r w:rsidR="00562028" w:rsidRPr="00165893">
        <w:rPr>
          <w:rFonts w:eastAsia="Times New Roman" w:cstheme="minorHAnsi"/>
          <w:sz w:val="24"/>
          <w:szCs w:val="24"/>
        </w:rPr>
        <w:t xml:space="preserve">ączne fundusze Banku obejmują kapitał </w:t>
      </w:r>
      <w:proofErr w:type="spellStart"/>
      <w:r w:rsidR="00562028" w:rsidRPr="00165893">
        <w:rPr>
          <w:rFonts w:eastAsia="Times New Roman" w:cstheme="minorHAnsi"/>
          <w:sz w:val="24"/>
          <w:szCs w:val="24"/>
        </w:rPr>
        <w:t>Tier</w:t>
      </w:r>
      <w:proofErr w:type="spellEnd"/>
      <w:r w:rsidR="00562028" w:rsidRPr="00165893">
        <w:rPr>
          <w:rFonts w:eastAsia="Times New Roman" w:cstheme="minorHAnsi"/>
          <w:sz w:val="24"/>
          <w:szCs w:val="24"/>
        </w:rPr>
        <w:t xml:space="preserve"> I, który jest równy kapitałowi podstawowemu </w:t>
      </w:r>
      <w:proofErr w:type="spellStart"/>
      <w:r w:rsidR="00562028" w:rsidRPr="00165893">
        <w:rPr>
          <w:rFonts w:eastAsia="Times New Roman" w:cstheme="minorHAnsi"/>
          <w:sz w:val="24"/>
          <w:szCs w:val="24"/>
        </w:rPr>
        <w:t>Tier</w:t>
      </w:r>
      <w:proofErr w:type="spellEnd"/>
      <w:r w:rsidR="00562028" w:rsidRPr="00165893">
        <w:rPr>
          <w:rFonts w:eastAsia="Times New Roman" w:cstheme="minorHAnsi"/>
          <w:sz w:val="24"/>
          <w:szCs w:val="24"/>
        </w:rPr>
        <w:t xml:space="preserve"> l.</w:t>
      </w:r>
      <w:r w:rsidR="00562028" w:rsidRPr="00165893">
        <w:rPr>
          <w:rFonts w:cstheme="minorHAnsi"/>
          <w:noProof/>
          <w:sz w:val="24"/>
          <w:szCs w:val="24"/>
        </w:rPr>
        <w:drawing>
          <wp:inline distT="0" distB="0" distL="0" distR="0" wp14:anchorId="258D4CC2" wp14:editId="38C66D0B">
            <wp:extent cx="6094" cy="6093"/>
            <wp:effectExtent l="0" t="0" r="0" b="0"/>
            <wp:docPr id="31697" name="Picture 31697"/>
            <wp:cNvGraphicFramePr/>
            <a:graphic xmlns:a="http://schemas.openxmlformats.org/drawingml/2006/main">
              <a:graphicData uri="http://schemas.openxmlformats.org/drawingml/2006/picture">
                <pic:pic xmlns:pic="http://schemas.openxmlformats.org/drawingml/2006/picture">
                  <pic:nvPicPr>
                    <pic:cNvPr id="31697" name="Picture 31697"/>
                    <pic:cNvPicPr/>
                  </pic:nvPicPr>
                  <pic:blipFill>
                    <a:blip r:embed="rId17"/>
                    <a:stretch>
                      <a:fillRect/>
                    </a:stretch>
                  </pic:blipFill>
                  <pic:spPr>
                    <a:xfrm>
                      <a:off x="0" y="0"/>
                      <a:ext cx="6094" cy="6093"/>
                    </a:xfrm>
                    <a:prstGeom prst="rect">
                      <a:avLst/>
                    </a:prstGeom>
                  </pic:spPr>
                </pic:pic>
              </a:graphicData>
            </a:graphic>
          </wp:inline>
        </w:drawing>
      </w:r>
    </w:p>
    <w:p w14:paraId="3DED467F" w14:textId="11CB1267" w:rsidR="00562028" w:rsidRPr="00165893" w:rsidRDefault="00562028" w:rsidP="00165893">
      <w:pPr>
        <w:autoSpaceDE w:val="0"/>
        <w:autoSpaceDN w:val="0"/>
        <w:adjustRightInd w:val="0"/>
        <w:spacing w:after="0" w:line="360" w:lineRule="auto"/>
        <w:jc w:val="both"/>
        <w:rPr>
          <w:rFonts w:cstheme="minorHAnsi"/>
          <w:sz w:val="24"/>
          <w:szCs w:val="24"/>
        </w:rPr>
      </w:pPr>
      <w:r w:rsidRPr="00165893">
        <w:rPr>
          <w:rFonts w:cstheme="minorHAnsi"/>
          <w:noProof/>
          <w:sz w:val="24"/>
          <w:szCs w:val="24"/>
        </w:rPr>
        <w:drawing>
          <wp:inline distT="0" distB="0" distL="0" distR="0" wp14:anchorId="02CE2361" wp14:editId="392FF583">
            <wp:extent cx="6094" cy="6093"/>
            <wp:effectExtent l="0" t="0" r="0" b="0"/>
            <wp:docPr id="31699" name="Picture 31699"/>
            <wp:cNvGraphicFramePr/>
            <a:graphic xmlns:a="http://schemas.openxmlformats.org/drawingml/2006/main">
              <a:graphicData uri="http://schemas.openxmlformats.org/drawingml/2006/picture">
                <pic:pic xmlns:pic="http://schemas.openxmlformats.org/drawingml/2006/picture">
                  <pic:nvPicPr>
                    <pic:cNvPr id="31699" name="Picture 31699"/>
                    <pic:cNvPicPr/>
                  </pic:nvPicPr>
                  <pic:blipFill>
                    <a:blip r:embed="rId18"/>
                    <a:stretch>
                      <a:fillRect/>
                    </a:stretch>
                  </pic:blipFill>
                  <pic:spPr>
                    <a:xfrm>
                      <a:off x="0" y="0"/>
                      <a:ext cx="6094" cy="6093"/>
                    </a:xfrm>
                    <a:prstGeom prst="rect">
                      <a:avLst/>
                    </a:prstGeom>
                  </pic:spPr>
                </pic:pic>
              </a:graphicData>
            </a:graphic>
          </wp:inline>
        </w:drawing>
      </w:r>
      <w:r w:rsidRPr="004D4C99">
        <w:t>Kwoty ekspozycji ważonych ryzykiem (pozycja 4) - Bank dokonuje agregacji wymogów kapitałowych na poszczególne</w:t>
      </w:r>
      <w:r w:rsidRPr="00165893">
        <w:rPr>
          <w:rFonts w:eastAsia="Times New Roman" w:cstheme="minorHAnsi"/>
          <w:sz w:val="24"/>
          <w:szCs w:val="24"/>
        </w:rPr>
        <w:t xml:space="preserve"> rodzaje ryzyka uznane za istotne w oparciu o metodę minimalnego wymogu kapitałowego. </w:t>
      </w:r>
      <w:r w:rsidRPr="00165893">
        <w:rPr>
          <w:rFonts w:cstheme="minorHAnsi"/>
          <w:noProof/>
          <w:sz w:val="24"/>
          <w:szCs w:val="24"/>
        </w:rPr>
        <w:drawing>
          <wp:inline distT="0" distB="0" distL="0" distR="0" wp14:anchorId="30F2F357" wp14:editId="736E1563">
            <wp:extent cx="6093" cy="36557"/>
            <wp:effectExtent l="0" t="0" r="0" b="0"/>
            <wp:docPr id="231184" name="Picture 231184"/>
            <wp:cNvGraphicFramePr/>
            <a:graphic xmlns:a="http://schemas.openxmlformats.org/drawingml/2006/main">
              <a:graphicData uri="http://schemas.openxmlformats.org/drawingml/2006/picture">
                <pic:pic xmlns:pic="http://schemas.openxmlformats.org/drawingml/2006/picture">
                  <pic:nvPicPr>
                    <pic:cNvPr id="231184" name="Picture 231184"/>
                    <pic:cNvPicPr/>
                  </pic:nvPicPr>
                  <pic:blipFill>
                    <a:blip r:embed="rId19"/>
                    <a:stretch>
                      <a:fillRect/>
                    </a:stretch>
                  </pic:blipFill>
                  <pic:spPr>
                    <a:xfrm>
                      <a:off x="0" y="0"/>
                      <a:ext cx="6093" cy="36557"/>
                    </a:xfrm>
                    <a:prstGeom prst="rect">
                      <a:avLst/>
                    </a:prstGeom>
                  </pic:spPr>
                </pic:pic>
              </a:graphicData>
            </a:graphic>
          </wp:inline>
        </w:drawing>
      </w:r>
      <w:r w:rsidRPr="00165893">
        <w:rPr>
          <w:rFonts w:eastAsia="Times New Roman" w:cstheme="minorHAnsi"/>
          <w:sz w:val="24"/>
          <w:szCs w:val="24"/>
        </w:rPr>
        <w:t>Poziomem wyjściowym dla ustalenia kapitału wewnętrznego jest wyliczony regulacyjny wymóg kapitałowy.</w:t>
      </w:r>
    </w:p>
    <w:p w14:paraId="765ABB63" w14:textId="78170159" w:rsidR="00565713" w:rsidRPr="00165893" w:rsidRDefault="00565713" w:rsidP="00165893">
      <w:pPr>
        <w:spacing w:after="104" w:line="360" w:lineRule="auto"/>
        <w:ind w:left="14" w:right="14"/>
        <w:jc w:val="both"/>
        <w:rPr>
          <w:rFonts w:cstheme="minorHAnsi"/>
          <w:sz w:val="24"/>
          <w:szCs w:val="24"/>
        </w:rPr>
      </w:pPr>
      <w:r w:rsidRPr="00165893">
        <w:rPr>
          <w:rFonts w:eastAsia="Times New Roman" w:cstheme="minorHAnsi"/>
          <w:sz w:val="24"/>
          <w:szCs w:val="24"/>
        </w:rPr>
        <w:t>Bank Spółdzielczy w Żywcu wyznacza regulacyjny wymóg kapitałowy dla:</w:t>
      </w:r>
      <w:r w:rsidRPr="00165893">
        <w:rPr>
          <w:rFonts w:cstheme="minorHAnsi"/>
          <w:noProof/>
          <w:sz w:val="24"/>
          <w:szCs w:val="24"/>
        </w:rPr>
        <w:drawing>
          <wp:inline distT="0" distB="0" distL="0" distR="0" wp14:anchorId="201DDA0B" wp14:editId="3442A459">
            <wp:extent cx="6094" cy="6093"/>
            <wp:effectExtent l="0" t="0" r="0" b="0"/>
            <wp:docPr id="31707" name="Picture 31707"/>
            <wp:cNvGraphicFramePr/>
            <a:graphic xmlns:a="http://schemas.openxmlformats.org/drawingml/2006/main">
              <a:graphicData uri="http://schemas.openxmlformats.org/drawingml/2006/picture">
                <pic:pic xmlns:pic="http://schemas.openxmlformats.org/drawingml/2006/picture">
                  <pic:nvPicPr>
                    <pic:cNvPr id="31707" name="Picture 31707"/>
                    <pic:cNvPicPr/>
                  </pic:nvPicPr>
                  <pic:blipFill>
                    <a:blip r:embed="rId20"/>
                    <a:stretch>
                      <a:fillRect/>
                    </a:stretch>
                  </pic:blipFill>
                  <pic:spPr>
                    <a:xfrm>
                      <a:off x="0" y="0"/>
                      <a:ext cx="6094" cy="6093"/>
                    </a:xfrm>
                    <a:prstGeom prst="rect">
                      <a:avLst/>
                    </a:prstGeom>
                  </pic:spPr>
                </pic:pic>
              </a:graphicData>
            </a:graphic>
          </wp:inline>
        </w:drawing>
      </w:r>
    </w:p>
    <w:p w14:paraId="77A8482B" w14:textId="41E459EF" w:rsidR="00565713" w:rsidRPr="00165893" w:rsidRDefault="00565713" w:rsidP="00165893">
      <w:pPr>
        <w:numPr>
          <w:ilvl w:val="0"/>
          <w:numId w:val="10"/>
        </w:numPr>
        <w:spacing w:after="62" w:line="360" w:lineRule="auto"/>
        <w:ind w:right="14"/>
        <w:jc w:val="both"/>
        <w:rPr>
          <w:rFonts w:cstheme="minorHAnsi"/>
          <w:sz w:val="24"/>
          <w:szCs w:val="24"/>
        </w:rPr>
      </w:pPr>
      <w:r w:rsidRPr="00165893">
        <w:rPr>
          <w:rFonts w:cstheme="minorHAnsi"/>
          <w:noProof/>
          <w:sz w:val="24"/>
          <w:szCs w:val="24"/>
        </w:rPr>
        <w:drawing>
          <wp:anchor distT="0" distB="0" distL="114300" distR="114300" simplePos="0" relativeHeight="251660288" behindDoc="0" locked="0" layoutInCell="1" allowOverlap="0" wp14:anchorId="7BA7C7B0" wp14:editId="6EA4B793">
            <wp:simplePos x="0" y="0"/>
            <wp:positionH relativeFrom="page">
              <wp:posOffset>444858</wp:posOffset>
            </wp:positionH>
            <wp:positionV relativeFrom="page">
              <wp:posOffset>1535389</wp:posOffset>
            </wp:positionV>
            <wp:extent cx="6094" cy="18278"/>
            <wp:effectExtent l="0" t="0" r="0" b="0"/>
            <wp:wrapTopAndBottom/>
            <wp:docPr id="31695" name="Picture 31695"/>
            <wp:cNvGraphicFramePr/>
            <a:graphic xmlns:a="http://schemas.openxmlformats.org/drawingml/2006/main">
              <a:graphicData uri="http://schemas.openxmlformats.org/drawingml/2006/picture">
                <pic:pic xmlns:pic="http://schemas.openxmlformats.org/drawingml/2006/picture">
                  <pic:nvPicPr>
                    <pic:cNvPr id="31695" name="Picture 31695"/>
                    <pic:cNvPicPr/>
                  </pic:nvPicPr>
                  <pic:blipFill>
                    <a:blip r:embed="rId21"/>
                    <a:stretch>
                      <a:fillRect/>
                    </a:stretch>
                  </pic:blipFill>
                  <pic:spPr>
                    <a:xfrm>
                      <a:off x="0" y="0"/>
                      <a:ext cx="6094" cy="18278"/>
                    </a:xfrm>
                    <a:prstGeom prst="rect">
                      <a:avLst/>
                    </a:prstGeom>
                  </pic:spPr>
                </pic:pic>
              </a:graphicData>
            </a:graphic>
          </wp:anchor>
        </w:drawing>
      </w:r>
      <w:r w:rsidRPr="00165893">
        <w:rPr>
          <w:rFonts w:cstheme="minorHAnsi"/>
          <w:noProof/>
          <w:sz w:val="24"/>
          <w:szCs w:val="24"/>
        </w:rPr>
        <mc:AlternateContent>
          <mc:Choice Requires="wpg">
            <w:drawing>
              <wp:anchor distT="0" distB="0" distL="114300" distR="114300" simplePos="0" relativeHeight="251661312" behindDoc="0" locked="0" layoutInCell="1" allowOverlap="1" wp14:anchorId="4023805B" wp14:editId="2D0009F0">
                <wp:simplePos x="0" y="0"/>
                <wp:positionH relativeFrom="page">
                  <wp:posOffset>1462548</wp:posOffset>
                </wp:positionH>
                <wp:positionV relativeFrom="page">
                  <wp:posOffset>1833937</wp:posOffset>
                </wp:positionV>
                <wp:extent cx="1121287" cy="1"/>
                <wp:effectExtent l="0" t="0" r="0" b="0"/>
                <wp:wrapTopAndBottom/>
                <wp:docPr id="231195" name="Group 231195"/>
                <wp:cNvGraphicFramePr/>
                <a:graphic xmlns:a="http://schemas.openxmlformats.org/drawingml/2006/main">
                  <a:graphicData uri="http://schemas.microsoft.com/office/word/2010/wordprocessingGroup">
                    <wpg:wgp>
                      <wpg:cNvGrpSpPr/>
                      <wpg:grpSpPr>
                        <a:xfrm>
                          <a:off x="0" y="0"/>
                          <a:ext cx="1121287" cy="1"/>
                          <a:chOff x="0" y="0"/>
                          <a:chExt cx="1121287" cy="1"/>
                        </a:xfrm>
                      </wpg:grpSpPr>
                      <wps:wsp>
                        <wps:cNvPr id="231194" name="Shape 231194"/>
                        <wps:cNvSpPr/>
                        <wps:spPr>
                          <a:xfrm>
                            <a:off x="0" y="0"/>
                            <a:ext cx="1121287" cy="0"/>
                          </a:xfrm>
                          <a:custGeom>
                            <a:avLst/>
                            <a:gdLst/>
                            <a:ahLst/>
                            <a:cxnLst/>
                            <a:rect l="0" t="0" r="0" b="0"/>
                            <a:pathLst>
                              <a:path w="1121287">
                                <a:moveTo>
                                  <a:pt x="0" y="0"/>
                                </a:moveTo>
                                <a:lnTo>
                                  <a:pt x="1121287" y="0"/>
                                </a:lnTo>
                              </a:path>
                            </a:pathLst>
                          </a:custGeom>
                          <a:ln w="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0C99090C" id="Group 231195" o:spid="_x0000_s1026" style="position:absolute;margin-left:115.15pt;margin-top:144.4pt;width:88.3pt;height:0;z-index:251661312;mso-position-horizontal-relative:page;mso-position-vertical-relative:page" coordsize="11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">
                <v:shape id="Shape 231194" o:spid="_x0000_s1027" style="position:absolute;width:11212;height:0;visibility:visible;mso-wrap-style:square;v-text-anchor:top" coordsize="1121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" path="m,l1121287,e" filled="f" strokeweight="0">
                  <v:stroke miterlimit="1" joinstyle="miter"/>
                  <v:path arrowok="t" textboxrect="0,0,1121287,0"/>
                </v:shape>
                <w10:wrap type="topAndBottom" anchorx="page" anchory="page"/>
              </v:group>
            </w:pict>
          </mc:Fallback>
        </mc:AlternateContent>
      </w:r>
      <w:r w:rsidRPr="00165893">
        <w:rPr>
          <w:rFonts w:cstheme="minorHAnsi"/>
          <w:noProof/>
          <w:sz w:val="24"/>
          <w:szCs w:val="24"/>
        </w:rPr>
        <w:drawing>
          <wp:anchor distT="0" distB="0" distL="114300" distR="114300" simplePos="0" relativeHeight="251662336" behindDoc="0" locked="0" layoutInCell="1" allowOverlap="0" wp14:anchorId="7589FEB9" wp14:editId="49FDE46F">
            <wp:simplePos x="0" y="0"/>
            <wp:positionH relativeFrom="page">
              <wp:posOffset>7117736</wp:posOffset>
            </wp:positionH>
            <wp:positionV relativeFrom="page">
              <wp:posOffset>2162949</wp:posOffset>
            </wp:positionV>
            <wp:extent cx="6094" cy="12186"/>
            <wp:effectExtent l="0" t="0" r="0" b="0"/>
            <wp:wrapSquare wrapText="bothSides"/>
            <wp:docPr id="31696" name="Picture 31696"/>
            <wp:cNvGraphicFramePr/>
            <a:graphic xmlns:a="http://schemas.openxmlformats.org/drawingml/2006/main">
              <a:graphicData uri="http://schemas.openxmlformats.org/drawingml/2006/picture">
                <pic:pic xmlns:pic="http://schemas.openxmlformats.org/drawingml/2006/picture">
                  <pic:nvPicPr>
                    <pic:cNvPr id="31696" name="Picture 31696"/>
                    <pic:cNvPicPr/>
                  </pic:nvPicPr>
                  <pic:blipFill>
                    <a:blip r:embed="rId22"/>
                    <a:stretch>
                      <a:fillRect/>
                    </a:stretch>
                  </pic:blipFill>
                  <pic:spPr>
                    <a:xfrm>
                      <a:off x="0" y="0"/>
                      <a:ext cx="6094" cy="12186"/>
                    </a:xfrm>
                    <a:prstGeom prst="rect">
                      <a:avLst/>
                    </a:prstGeom>
                  </pic:spPr>
                </pic:pic>
              </a:graphicData>
            </a:graphic>
          </wp:anchor>
        </w:drawing>
      </w:r>
      <w:r w:rsidRPr="00165893">
        <w:rPr>
          <w:rFonts w:eastAsia="Times New Roman" w:cstheme="minorHAnsi"/>
          <w:sz w:val="24"/>
          <w:szCs w:val="24"/>
        </w:rPr>
        <w:t>ryzyka kredytowego w oparciu o metodę standardową;</w:t>
      </w:r>
    </w:p>
    <w:p w14:paraId="0DE59E3F" w14:textId="77777777" w:rsidR="00565713" w:rsidRPr="00165893" w:rsidRDefault="00565713" w:rsidP="00165893">
      <w:pPr>
        <w:numPr>
          <w:ilvl w:val="0"/>
          <w:numId w:val="10"/>
        </w:numPr>
        <w:spacing w:after="4" w:line="360" w:lineRule="auto"/>
        <w:ind w:right="14"/>
        <w:jc w:val="both"/>
        <w:rPr>
          <w:rFonts w:cstheme="minorHAnsi"/>
          <w:sz w:val="24"/>
          <w:szCs w:val="24"/>
        </w:rPr>
      </w:pPr>
      <w:r w:rsidRPr="00165893">
        <w:rPr>
          <w:rFonts w:eastAsia="Times New Roman" w:cstheme="minorHAnsi"/>
          <w:sz w:val="24"/>
          <w:szCs w:val="24"/>
        </w:rPr>
        <w:t>ryzyka walutowego w oparciu o uproszczoną metodę standardową;</w:t>
      </w:r>
    </w:p>
    <w:p w14:paraId="3CF49DD8" w14:textId="77777777" w:rsidR="00565713" w:rsidRPr="00165893" w:rsidRDefault="00565713" w:rsidP="00165893">
      <w:pPr>
        <w:numPr>
          <w:ilvl w:val="0"/>
          <w:numId w:val="10"/>
        </w:numPr>
        <w:spacing w:after="4" w:line="360" w:lineRule="auto"/>
        <w:ind w:right="14"/>
        <w:jc w:val="both"/>
        <w:rPr>
          <w:rFonts w:cstheme="minorHAnsi"/>
          <w:sz w:val="24"/>
          <w:szCs w:val="24"/>
        </w:rPr>
      </w:pPr>
      <w:r w:rsidRPr="00165893">
        <w:rPr>
          <w:rFonts w:eastAsia="Times New Roman" w:cstheme="minorHAnsi"/>
          <w:sz w:val="24"/>
          <w:szCs w:val="24"/>
        </w:rPr>
        <w:t xml:space="preserve">ryzyka operacyjnego w oparciu o metodę „BIC” (ang. Business </w:t>
      </w:r>
      <w:proofErr w:type="spellStart"/>
      <w:r w:rsidRPr="00165893">
        <w:rPr>
          <w:rFonts w:eastAsia="Times New Roman" w:cstheme="minorHAnsi"/>
          <w:sz w:val="24"/>
          <w:szCs w:val="24"/>
        </w:rPr>
        <w:t>Indicator</w:t>
      </w:r>
      <w:proofErr w:type="spellEnd"/>
      <w:r w:rsidRPr="00165893">
        <w:rPr>
          <w:rFonts w:eastAsia="Times New Roman" w:cstheme="minorHAnsi"/>
          <w:sz w:val="24"/>
          <w:szCs w:val="24"/>
        </w:rPr>
        <w:t xml:space="preserve"> Component) - wskaźnik biznesowy </w:t>
      </w:r>
      <w:r w:rsidRPr="00165893">
        <w:rPr>
          <w:rFonts w:cstheme="minorHAnsi"/>
          <w:noProof/>
          <w:sz w:val="24"/>
          <w:szCs w:val="24"/>
        </w:rPr>
        <w:drawing>
          <wp:inline distT="0" distB="0" distL="0" distR="0" wp14:anchorId="722DE18B" wp14:editId="653285DC">
            <wp:extent cx="6093" cy="6093"/>
            <wp:effectExtent l="0" t="0" r="0" b="0"/>
            <wp:docPr id="31708" name="Picture 31708"/>
            <wp:cNvGraphicFramePr/>
            <a:graphic xmlns:a="http://schemas.openxmlformats.org/drawingml/2006/main">
              <a:graphicData uri="http://schemas.openxmlformats.org/drawingml/2006/picture">
                <pic:pic xmlns:pic="http://schemas.openxmlformats.org/drawingml/2006/picture">
                  <pic:nvPicPr>
                    <pic:cNvPr id="31708" name="Picture 31708"/>
                    <pic:cNvPicPr/>
                  </pic:nvPicPr>
                  <pic:blipFill>
                    <a:blip r:embed="rId17"/>
                    <a:stretch>
                      <a:fillRect/>
                    </a:stretch>
                  </pic:blipFill>
                  <pic:spPr>
                    <a:xfrm>
                      <a:off x="0" y="0"/>
                      <a:ext cx="6093" cy="6093"/>
                    </a:xfrm>
                    <a:prstGeom prst="rect">
                      <a:avLst/>
                    </a:prstGeom>
                  </pic:spPr>
                </pic:pic>
              </a:graphicData>
            </a:graphic>
          </wp:inline>
        </w:drawing>
      </w:r>
      <w:r w:rsidRPr="00165893">
        <w:rPr>
          <w:rFonts w:eastAsia="Times New Roman" w:cstheme="minorHAnsi"/>
          <w:sz w:val="24"/>
          <w:szCs w:val="24"/>
        </w:rPr>
        <w:t>skorygowany o współczynniki krańcowe.</w:t>
      </w:r>
    </w:p>
    <w:p w14:paraId="0F5841D6" w14:textId="51E45938" w:rsidR="00565713" w:rsidRPr="00165893" w:rsidRDefault="00565713" w:rsidP="00165893">
      <w:pPr>
        <w:spacing w:line="360" w:lineRule="auto"/>
        <w:ind w:left="14" w:right="14"/>
        <w:jc w:val="both"/>
        <w:rPr>
          <w:rFonts w:cstheme="minorHAnsi"/>
          <w:sz w:val="24"/>
          <w:szCs w:val="24"/>
        </w:rPr>
      </w:pPr>
      <w:r w:rsidRPr="00165893">
        <w:rPr>
          <w:rFonts w:eastAsia="Times New Roman" w:cstheme="minorHAnsi"/>
          <w:sz w:val="24"/>
          <w:szCs w:val="24"/>
        </w:rPr>
        <w:t xml:space="preserve">Kapitał wewnętrzny stanowi sumę regulacyjnego wymogu kapitałowego, dodatkowych wymogów </w:t>
      </w:r>
      <w:r w:rsidRPr="00165893">
        <w:rPr>
          <w:rFonts w:cstheme="minorHAnsi"/>
          <w:noProof/>
          <w:sz w:val="24"/>
          <w:szCs w:val="24"/>
        </w:rPr>
        <w:drawing>
          <wp:inline distT="0" distB="0" distL="0" distR="0" wp14:anchorId="5E462635" wp14:editId="44349E90">
            <wp:extent cx="6094" cy="73114"/>
            <wp:effectExtent l="0" t="0" r="0" b="0"/>
            <wp:docPr id="231192" name="Picture 231192"/>
            <wp:cNvGraphicFramePr/>
            <a:graphic xmlns:a="http://schemas.openxmlformats.org/drawingml/2006/main">
              <a:graphicData uri="http://schemas.openxmlformats.org/drawingml/2006/picture">
                <pic:pic xmlns:pic="http://schemas.openxmlformats.org/drawingml/2006/picture">
                  <pic:nvPicPr>
                    <pic:cNvPr id="231192" name="Picture 231192"/>
                    <pic:cNvPicPr/>
                  </pic:nvPicPr>
                  <pic:blipFill>
                    <a:blip r:embed="rId23"/>
                    <a:stretch>
                      <a:fillRect/>
                    </a:stretch>
                  </pic:blipFill>
                  <pic:spPr>
                    <a:xfrm>
                      <a:off x="0" y="0"/>
                      <a:ext cx="6094" cy="73114"/>
                    </a:xfrm>
                    <a:prstGeom prst="rect">
                      <a:avLst/>
                    </a:prstGeom>
                  </pic:spPr>
                </pic:pic>
              </a:graphicData>
            </a:graphic>
          </wp:inline>
        </w:drawing>
      </w:r>
      <w:r w:rsidRPr="00165893">
        <w:rPr>
          <w:rFonts w:eastAsia="Times New Roman" w:cstheme="minorHAnsi"/>
          <w:sz w:val="24"/>
          <w:szCs w:val="24"/>
        </w:rPr>
        <w:t>kapitałowych na ryzyko kredytowe, operacyjne i walutowe oraz dodatkowych wymogów kapitałowych na istotne rodzaje ryzyka.</w:t>
      </w:r>
    </w:p>
    <w:p w14:paraId="47E26477" w14:textId="403F9DF9" w:rsidR="00565713" w:rsidRPr="00165893" w:rsidRDefault="00565713" w:rsidP="00165893">
      <w:pPr>
        <w:spacing w:line="360" w:lineRule="auto"/>
        <w:ind w:left="14" w:right="14"/>
        <w:jc w:val="both"/>
        <w:rPr>
          <w:rFonts w:cstheme="minorHAnsi"/>
          <w:sz w:val="24"/>
          <w:szCs w:val="24"/>
        </w:rPr>
      </w:pPr>
      <w:r w:rsidRPr="00165893">
        <w:rPr>
          <w:rFonts w:eastAsia="Times New Roman" w:cstheme="minorHAnsi"/>
          <w:sz w:val="24"/>
          <w:szCs w:val="24"/>
        </w:rPr>
        <w:t xml:space="preserve">Łączna kwota ekspozycji na ryzyko przed zastosowaniem minimalnego progu (pozycja 4a) nie została </w:t>
      </w:r>
      <w:r w:rsidRPr="00165893">
        <w:rPr>
          <w:rFonts w:cstheme="minorHAnsi"/>
          <w:noProof/>
          <w:sz w:val="24"/>
          <w:szCs w:val="24"/>
        </w:rPr>
        <w:drawing>
          <wp:inline distT="0" distB="0" distL="0" distR="0" wp14:anchorId="31B3D5F3" wp14:editId="5B23AABC">
            <wp:extent cx="6094" cy="24371"/>
            <wp:effectExtent l="0" t="0" r="0" b="0"/>
            <wp:docPr id="31712" name="Picture 31712"/>
            <wp:cNvGraphicFramePr/>
            <a:graphic xmlns:a="http://schemas.openxmlformats.org/drawingml/2006/main">
              <a:graphicData uri="http://schemas.openxmlformats.org/drawingml/2006/picture">
                <pic:pic xmlns:pic="http://schemas.openxmlformats.org/drawingml/2006/picture">
                  <pic:nvPicPr>
                    <pic:cNvPr id="31712" name="Picture 31712"/>
                    <pic:cNvPicPr/>
                  </pic:nvPicPr>
                  <pic:blipFill>
                    <a:blip r:embed="rId24"/>
                    <a:stretch>
                      <a:fillRect/>
                    </a:stretch>
                  </pic:blipFill>
                  <pic:spPr>
                    <a:xfrm>
                      <a:off x="0" y="0"/>
                      <a:ext cx="6094" cy="24371"/>
                    </a:xfrm>
                    <a:prstGeom prst="rect">
                      <a:avLst/>
                    </a:prstGeom>
                  </pic:spPr>
                </pic:pic>
              </a:graphicData>
            </a:graphic>
          </wp:inline>
        </w:drawing>
      </w:r>
      <w:r w:rsidRPr="00165893">
        <w:rPr>
          <w:rFonts w:eastAsia="Times New Roman" w:cstheme="minorHAnsi"/>
          <w:sz w:val="24"/>
          <w:szCs w:val="24"/>
        </w:rPr>
        <w:t>określona jako wiążąca dla Banku co jest jednoznaczne z brakiem prezentacji.</w:t>
      </w:r>
    </w:p>
    <w:p w14:paraId="116E4CC8" w14:textId="6C8F5236" w:rsidR="00565713" w:rsidRPr="00165893" w:rsidRDefault="00565713" w:rsidP="00165893">
      <w:pPr>
        <w:spacing w:line="360" w:lineRule="auto"/>
        <w:ind w:left="14" w:right="14"/>
        <w:jc w:val="both"/>
        <w:rPr>
          <w:rFonts w:cstheme="minorHAnsi"/>
          <w:sz w:val="24"/>
          <w:szCs w:val="24"/>
        </w:rPr>
      </w:pPr>
      <w:r w:rsidRPr="00165893">
        <w:rPr>
          <w:rFonts w:eastAsia="Times New Roman" w:cstheme="minorHAnsi"/>
          <w:sz w:val="24"/>
          <w:szCs w:val="24"/>
        </w:rPr>
        <w:lastRenderedPageBreak/>
        <w:t xml:space="preserve">Współczynniki kapitałowe (pozycją 5-7) obliczane są jako odsetek kwoty ekspozycji ważonej ryzykiem tj. dla pozycji 5 jest to iloraz pozycji 1 i 4, dla pozycji 6 jest to iloraz pozycji 2 i 4, dla pozycji 7 jest to iloraz </w:t>
      </w:r>
      <w:r w:rsidRPr="00165893">
        <w:rPr>
          <w:rFonts w:cstheme="minorHAnsi"/>
          <w:noProof/>
          <w:sz w:val="24"/>
          <w:szCs w:val="24"/>
        </w:rPr>
        <w:drawing>
          <wp:inline distT="0" distB="0" distL="0" distR="0" wp14:anchorId="6DF46465" wp14:editId="53BC5DDE">
            <wp:extent cx="6093" cy="6093"/>
            <wp:effectExtent l="0" t="0" r="0" b="0"/>
            <wp:docPr id="31713" name="Picture 31713"/>
            <wp:cNvGraphicFramePr/>
            <a:graphic xmlns:a="http://schemas.openxmlformats.org/drawingml/2006/main">
              <a:graphicData uri="http://schemas.openxmlformats.org/drawingml/2006/picture">
                <pic:pic xmlns:pic="http://schemas.openxmlformats.org/drawingml/2006/picture">
                  <pic:nvPicPr>
                    <pic:cNvPr id="31713" name="Picture 31713"/>
                    <pic:cNvPicPr/>
                  </pic:nvPicPr>
                  <pic:blipFill>
                    <a:blip r:embed="rId17"/>
                    <a:stretch>
                      <a:fillRect/>
                    </a:stretch>
                  </pic:blipFill>
                  <pic:spPr>
                    <a:xfrm>
                      <a:off x="0" y="0"/>
                      <a:ext cx="6093" cy="6093"/>
                    </a:xfrm>
                    <a:prstGeom prst="rect">
                      <a:avLst/>
                    </a:prstGeom>
                  </pic:spPr>
                </pic:pic>
              </a:graphicData>
            </a:graphic>
          </wp:inline>
        </w:drawing>
      </w:r>
      <w:r w:rsidRPr="00165893">
        <w:rPr>
          <w:rFonts w:eastAsia="Times New Roman" w:cstheme="minorHAnsi"/>
          <w:sz w:val="24"/>
          <w:szCs w:val="24"/>
        </w:rPr>
        <w:t>pozycji 3 i 4. Natomiast pozycje 5b, 6b i 7b nie dotyczą Banku Spółdzielczego w Ż</w:t>
      </w:r>
      <w:r w:rsidR="005D4AD0" w:rsidRPr="00165893">
        <w:rPr>
          <w:rFonts w:eastAsia="Times New Roman" w:cstheme="minorHAnsi"/>
          <w:sz w:val="24"/>
          <w:szCs w:val="24"/>
        </w:rPr>
        <w:t>ywcu</w:t>
      </w:r>
      <w:r w:rsidRPr="00165893">
        <w:rPr>
          <w:rFonts w:eastAsia="Times New Roman" w:cstheme="minorHAnsi"/>
          <w:sz w:val="24"/>
          <w:szCs w:val="24"/>
        </w:rPr>
        <w:t>.</w:t>
      </w:r>
    </w:p>
    <w:p w14:paraId="4F84437C" w14:textId="745A62B5" w:rsidR="00565713" w:rsidRPr="00165893" w:rsidRDefault="00565713" w:rsidP="00165893">
      <w:pPr>
        <w:spacing w:line="360" w:lineRule="auto"/>
        <w:ind w:left="14" w:right="96"/>
        <w:jc w:val="both"/>
        <w:rPr>
          <w:rFonts w:eastAsia="Times New Roman" w:cstheme="minorHAnsi"/>
          <w:sz w:val="24"/>
          <w:szCs w:val="24"/>
        </w:rPr>
      </w:pPr>
      <w:r w:rsidRPr="00165893">
        <w:rPr>
          <w:rFonts w:eastAsia="Times New Roman" w:cstheme="minorHAnsi"/>
          <w:sz w:val="24"/>
          <w:szCs w:val="24"/>
        </w:rPr>
        <w:t xml:space="preserve">Dodatkowe wymogi </w:t>
      </w:r>
      <w:r w:rsidR="00E30F11">
        <w:rPr>
          <w:rFonts w:eastAsia="Times New Roman" w:cstheme="minorHAnsi"/>
          <w:sz w:val="24"/>
          <w:szCs w:val="24"/>
        </w:rPr>
        <w:t>w</w:t>
      </w:r>
      <w:r w:rsidRPr="00165893">
        <w:rPr>
          <w:rFonts w:eastAsia="Times New Roman" w:cstheme="minorHAnsi"/>
          <w:sz w:val="24"/>
          <w:szCs w:val="24"/>
        </w:rPr>
        <w:t xml:space="preserve"> zakresie funduszy własnych w celu uwzględnienia ryzyka innego niż ryzyko nadmiernej dźwigni (pozycja EU-7d - EU-7g) - wynikają z Rozporządzenia w sprawie wymogów ostrożnościowych dla instytucji kredytowych i firm oraz Rozporządzenia o wymogach kapitałowych.</w:t>
      </w:r>
    </w:p>
    <w:p w14:paraId="6BCAE341" w14:textId="77777777" w:rsidR="005D4AD0" w:rsidRPr="00165893" w:rsidRDefault="005D4AD0" w:rsidP="00165893">
      <w:pPr>
        <w:spacing w:line="360" w:lineRule="auto"/>
        <w:ind w:right="14"/>
        <w:jc w:val="both"/>
        <w:rPr>
          <w:rFonts w:cstheme="minorHAnsi"/>
          <w:sz w:val="24"/>
          <w:szCs w:val="24"/>
        </w:rPr>
      </w:pPr>
      <w:r w:rsidRPr="00165893">
        <w:rPr>
          <w:rFonts w:eastAsia="Times New Roman" w:cstheme="minorHAnsi"/>
          <w:sz w:val="24"/>
          <w:szCs w:val="24"/>
        </w:rPr>
        <w:t>Ich spełnienie ma pozwolić pokryć nieoczekiwane straty i zachować wypłacalność w razie kryzysu, wymogi wyrażane są w postaci odsetka aktywów ważonych ryzykiem.</w:t>
      </w:r>
    </w:p>
    <w:p w14:paraId="617D321E" w14:textId="4E9217BB" w:rsidR="005D4AD0" w:rsidRPr="00165893" w:rsidRDefault="005D4AD0" w:rsidP="00165893">
      <w:pPr>
        <w:spacing w:line="360" w:lineRule="auto"/>
        <w:ind w:right="14"/>
        <w:jc w:val="both"/>
        <w:rPr>
          <w:rFonts w:cstheme="minorHAnsi"/>
          <w:sz w:val="24"/>
          <w:szCs w:val="24"/>
        </w:rPr>
      </w:pPr>
      <w:r w:rsidRPr="00165893">
        <w:rPr>
          <w:rFonts w:eastAsia="Times New Roman" w:cstheme="minorHAnsi"/>
          <w:sz w:val="24"/>
          <w:szCs w:val="24"/>
        </w:rPr>
        <w:t>Wymóg połączonego bufora i łączne wymogi kapitałowe (pozycja 8-12) - wskaźniki wynikające z Dyrektywy w sprawie warunków dopuszczenia instytucji kredytowych do działalności oraz nadzoru ostrożnościowego nad instytucjami kredytowymi i firmami inwestycyjnymi (Dyrektywa o wymogach kapitałowych</w:t>
      </w:r>
      <w:r w:rsidR="00C87683">
        <w:rPr>
          <w:rFonts w:eastAsia="Times New Roman" w:cstheme="minorHAnsi"/>
          <w:sz w:val="24"/>
          <w:szCs w:val="24"/>
        </w:rPr>
        <w:t>)</w:t>
      </w:r>
      <w:r w:rsidRPr="00165893">
        <w:rPr>
          <w:rFonts w:eastAsia="Times New Roman" w:cstheme="minorHAnsi"/>
          <w:sz w:val="24"/>
          <w:szCs w:val="24"/>
        </w:rPr>
        <w:t>.</w:t>
      </w:r>
    </w:p>
    <w:p w14:paraId="1AF88C55" w14:textId="77777777" w:rsidR="005D4AD0" w:rsidRPr="00165893" w:rsidRDefault="005D4AD0" w:rsidP="00165893">
      <w:pPr>
        <w:spacing w:line="360" w:lineRule="auto"/>
        <w:ind w:right="14"/>
        <w:jc w:val="both"/>
        <w:rPr>
          <w:rFonts w:cstheme="minorHAnsi"/>
          <w:sz w:val="24"/>
          <w:szCs w:val="24"/>
        </w:rPr>
      </w:pPr>
      <w:r w:rsidRPr="00165893">
        <w:rPr>
          <w:rFonts w:eastAsia="Times New Roman" w:cstheme="minorHAnsi"/>
          <w:sz w:val="24"/>
          <w:szCs w:val="24"/>
        </w:rPr>
        <w:t xml:space="preserve">Pozycja 8 - Bufor zabezpieczający musi składać się z kapitału podstawowego </w:t>
      </w:r>
      <w:proofErr w:type="spellStart"/>
      <w:r w:rsidRPr="00165893">
        <w:rPr>
          <w:rFonts w:eastAsia="Times New Roman" w:cstheme="minorHAnsi"/>
          <w:sz w:val="24"/>
          <w:szCs w:val="24"/>
        </w:rPr>
        <w:t>Tier</w:t>
      </w:r>
      <w:proofErr w:type="spellEnd"/>
      <w:r w:rsidRPr="00165893">
        <w:rPr>
          <w:rFonts w:eastAsia="Times New Roman" w:cstheme="minorHAnsi"/>
          <w:sz w:val="24"/>
          <w:szCs w:val="24"/>
        </w:rPr>
        <w:t xml:space="preserve"> I </w:t>
      </w:r>
      <w:proofErr w:type="spellStart"/>
      <w:r w:rsidRPr="00165893">
        <w:rPr>
          <w:rFonts w:eastAsia="Times New Roman" w:cstheme="minorHAnsi"/>
          <w:sz w:val="24"/>
          <w:szCs w:val="24"/>
        </w:rPr>
        <w:t>i</w:t>
      </w:r>
      <w:proofErr w:type="spellEnd"/>
      <w:r w:rsidRPr="00165893">
        <w:rPr>
          <w:rFonts w:eastAsia="Times New Roman" w:cstheme="minorHAnsi"/>
          <w:sz w:val="24"/>
          <w:szCs w:val="24"/>
        </w:rPr>
        <w:t xml:space="preserve"> wynosić 2,5% łącznej </w:t>
      </w:r>
      <w:r w:rsidRPr="00165893">
        <w:rPr>
          <w:rFonts w:cstheme="minorHAnsi"/>
          <w:noProof/>
          <w:sz w:val="24"/>
          <w:szCs w:val="24"/>
        </w:rPr>
        <w:drawing>
          <wp:inline distT="0" distB="0" distL="0" distR="0" wp14:anchorId="15DB9FE4" wp14:editId="2591B204">
            <wp:extent cx="6094" cy="30464"/>
            <wp:effectExtent l="0" t="0" r="0" b="0"/>
            <wp:docPr id="231198" name="Picture 231198"/>
            <wp:cNvGraphicFramePr/>
            <a:graphic xmlns:a="http://schemas.openxmlformats.org/drawingml/2006/main">
              <a:graphicData uri="http://schemas.openxmlformats.org/drawingml/2006/picture">
                <pic:pic xmlns:pic="http://schemas.openxmlformats.org/drawingml/2006/picture">
                  <pic:nvPicPr>
                    <pic:cNvPr id="231198" name="Picture 231198"/>
                    <pic:cNvPicPr/>
                  </pic:nvPicPr>
                  <pic:blipFill>
                    <a:blip r:embed="rId25"/>
                    <a:stretch>
                      <a:fillRect/>
                    </a:stretch>
                  </pic:blipFill>
                  <pic:spPr>
                    <a:xfrm>
                      <a:off x="0" y="0"/>
                      <a:ext cx="6094" cy="30464"/>
                    </a:xfrm>
                    <a:prstGeom prst="rect">
                      <a:avLst/>
                    </a:prstGeom>
                  </pic:spPr>
                </pic:pic>
              </a:graphicData>
            </a:graphic>
          </wp:inline>
        </w:drawing>
      </w:r>
      <w:r w:rsidRPr="00165893">
        <w:rPr>
          <w:rFonts w:eastAsia="Times New Roman" w:cstheme="minorHAnsi"/>
          <w:sz w:val="24"/>
          <w:szCs w:val="24"/>
        </w:rPr>
        <w:t>kwoty ekspozycji banku na ryzyko. Służy ochronie kapitału Banku.</w:t>
      </w:r>
    </w:p>
    <w:p w14:paraId="4C2C4DC7" w14:textId="145BB30D" w:rsidR="005D4AD0" w:rsidRPr="00165893" w:rsidRDefault="005D4AD0" w:rsidP="00165893">
      <w:pPr>
        <w:spacing w:line="360" w:lineRule="auto"/>
        <w:ind w:right="14"/>
        <w:jc w:val="both"/>
        <w:rPr>
          <w:rFonts w:cstheme="minorHAnsi"/>
          <w:sz w:val="24"/>
          <w:szCs w:val="24"/>
        </w:rPr>
      </w:pPr>
      <w:r w:rsidRPr="00165893">
        <w:rPr>
          <w:rFonts w:eastAsia="Times New Roman" w:cstheme="minorHAnsi"/>
          <w:sz w:val="24"/>
          <w:szCs w:val="24"/>
        </w:rPr>
        <w:t>Pozycja EU-8a - EU-</w:t>
      </w:r>
      <w:proofErr w:type="spellStart"/>
      <w:r w:rsidRPr="00165893">
        <w:rPr>
          <w:rFonts w:eastAsia="Times New Roman" w:cstheme="minorHAnsi"/>
          <w:sz w:val="24"/>
          <w:szCs w:val="24"/>
        </w:rPr>
        <w:t>IOa</w:t>
      </w:r>
      <w:proofErr w:type="spellEnd"/>
      <w:r w:rsidRPr="00165893">
        <w:rPr>
          <w:rFonts w:eastAsia="Times New Roman" w:cstheme="minorHAnsi"/>
          <w:sz w:val="24"/>
          <w:szCs w:val="24"/>
        </w:rPr>
        <w:t xml:space="preserve"> na dzień 31.12.202</w:t>
      </w:r>
      <w:r w:rsidR="000E28DE" w:rsidRPr="00165893">
        <w:rPr>
          <w:rFonts w:eastAsia="Times New Roman" w:cstheme="minorHAnsi"/>
          <w:sz w:val="24"/>
          <w:szCs w:val="24"/>
        </w:rPr>
        <w:t>5</w:t>
      </w:r>
      <w:r w:rsidRPr="00165893">
        <w:rPr>
          <w:rFonts w:eastAsia="Times New Roman" w:cstheme="minorHAnsi"/>
          <w:sz w:val="24"/>
          <w:szCs w:val="24"/>
        </w:rPr>
        <w:t xml:space="preserve"> nie została określona jako norma wiążąca Bank co jest jednoznaczne z brakiem prezentacji.</w:t>
      </w:r>
    </w:p>
    <w:p w14:paraId="5AB0AE46" w14:textId="5F535AE7" w:rsidR="005D4AD0" w:rsidRPr="00165893" w:rsidRDefault="005D4AD0" w:rsidP="00165893">
      <w:pPr>
        <w:spacing w:line="360" w:lineRule="auto"/>
        <w:ind w:right="14"/>
        <w:jc w:val="both"/>
        <w:rPr>
          <w:rFonts w:cstheme="minorHAnsi"/>
          <w:sz w:val="24"/>
          <w:szCs w:val="24"/>
        </w:rPr>
      </w:pPr>
      <w:r w:rsidRPr="00165893">
        <w:rPr>
          <w:rFonts w:eastAsia="Times New Roman" w:cstheme="minorHAnsi"/>
          <w:sz w:val="24"/>
          <w:szCs w:val="24"/>
        </w:rPr>
        <w:t xml:space="preserve">Pozycja 9 </w:t>
      </w:r>
      <w:r w:rsidR="002B6692">
        <w:rPr>
          <w:rFonts w:eastAsia="Times New Roman" w:cstheme="minorHAnsi"/>
          <w:sz w:val="24"/>
          <w:szCs w:val="24"/>
        </w:rPr>
        <w:t xml:space="preserve">- </w:t>
      </w:r>
      <w:r w:rsidRPr="00165893">
        <w:rPr>
          <w:rFonts w:eastAsia="Times New Roman" w:cstheme="minorHAnsi"/>
          <w:sz w:val="24"/>
          <w:szCs w:val="24"/>
        </w:rPr>
        <w:t>Specyficzny dla instytucji bufor antycykliczny został określony na dzień 31.12.2025 i wynosi 1,0% łącznej kwoty ekspozycji banku na ryzyko. Służy ochronie kapitału Banku.</w:t>
      </w:r>
    </w:p>
    <w:p w14:paraId="471A8B3F" w14:textId="54C62F04" w:rsidR="005D4AD0" w:rsidRPr="00165893" w:rsidRDefault="005D4AD0" w:rsidP="00165893">
      <w:pPr>
        <w:spacing w:line="360" w:lineRule="auto"/>
        <w:ind w:right="14"/>
        <w:jc w:val="both"/>
        <w:rPr>
          <w:rFonts w:cstheme="minorHAnsi"/>
          <w:sz w:val="24"/>
          <w:szCs w:val="24"/>
        </w:rPr>
      </w:pPr>
      <w:r w:rsidRPr="00165893">
        <w:rPr>
          <w:rFonts w:eastAsia="Times New Roman" w:cstheme="minorHAnsi"/>
          <w:sz w:val="24"/>
          <w:szCs w:val="24"/>
        </w:rPr>
        <w:t xml:space="preserve">Pozycja </w:t>
      </w:r>
      <w:r w:rsidR="000E28DE" w:rsidRPr="00165893">
        <w:rPr>
          <w:rFonts w:eastAsia="Times New Roman" w:cstheme="minorHAnsi"/>
          <w:sz w:val="24"/>
          <w:szCs w:val="24"/>
        </w:rPr>
        <w:t>11</w:t>
      </w:r>
      <w:r w:rsidRPr="00165893">
        <w:rPr>
          <w:rFonts w:eastAsia="Times New Roman" w:cstheme="minorHAnsi"/>
          <w:sz w:val="24"/>
          <w:szCs w:val="24"/>
        </w:rPr>
        <w:t xml:space="preserve"> stanowi sumę buforów wskazanych w pozycjach 8 - EU-</w:t>
      </w:r>
      <w:proofErr w:type="spellStart"/>
      <w:r w:rsidRPr="00165893">
        <w:rPr>
          <w:rFonts w:eastAsia="Times New Roman" w:cstheme="minorHAnsi"/>
          <w:sz w:val="24"/>
          <w:szCs w:val="24"/>
        </w:rPr>
        <w:t>IOa</w:t>
      </w:r>
      <w:proofErr w:type="spellEnd"/>
      <w:r w:rsidRPr="00165893">
        <w:rPr>
          <w:rFonts w:eastAsia="Times New Roman" w:cstheme="minorHAnsi"/>
          <w:sz w:val="24"/>
          <w:szCs w:val="24"/>
        </w:rPr>
        <w:t>.</w:t>
      </w:r>
    </w:p>
    <w:p w14:paraId="605CC53A" w14:textId="77777777" w:rsidR="005D4AD0" w:rsidRPr="00165893" w:rsidRDefault="005D4AD0" w:rsidP="00165893">
      <w:pPr>
        <w:spacing w:after="39" w:line="360" w:lineRule="auto"/>
        <w:ind w:right="14"/>
        <w:jc w:val="both"/>
        <w:rPr>
          <w:rFonts w:cstheme="minorHAnsi"/>
          <w:sz w:val="24"/>
          <w:szCs w:val="24"/>
        </w:rPr>
      </w:pPr>
      <w:r w:rsidRPr="00165893">
        <w:rPr>
          <w:rFonts w:eastAsia="Times New Roman" w:cstheme="minorHAnsi"/>
          <w:sz w:val="24"/>
          <w:szCs w:val="24"/>
        </w:rPr>
        <w:t>Pozycja EU-</w:t>
      </w:r>
      <w:proofErr w:type="spellStart"/>
      <w:r w:rsidRPr="00165893">
        <w:rPr>
          <w:rFonts w:eastAsia="Times New Roman" w:cstheme="minorHAnsi"/>
          <w:sz w:val="24"/>
          <w:szCs w:val="24"/>
        </w:rPr>
        <w:t>lla</w:t>
      </w:r>
      <w:proofErr w:type="spellEnd"/>
      <w:r w:rsidRPr="00165893">
        <w:rPr>
          <w:rFonts w:eastAsia="Times New Roman" w:cstheme="minorHAnsi"/>
          <w:sz w:val="24"/>
          <w:szCs w:val="24"/>
        </w:rPr>
        <w:t xml:space="preserve"> stanowi sumę pozycji EU-7g i 11.</w:t>
      </w:r>
    </w:p>
    <w:p w14:paraId="726EAE37" w14:textId="469C5747" w:rsidR="000E28DE" w:rsidRPr="00165893" w:rsidRDefault="005D4AD0" w:rsidP="00165893">
      <w:pPr>
        <w:spacing w:line="360" w:lineRule="auto"/>
        <w:ind w:right="14"/>
        <w:jc w:val="both"/>
        <w:rPr>
          <w:rFonts w:cstheme="minorHAnsi"/>
          <w:sz w:val="24"/>
          <w:szCs w:val="24"/>
        </w:rPr>
      </w:pPr>
      <w:r w:rsidRPr="00165893">
        <w:rPr>
          <w:rFonts w:cstheme="minorHAnsi"/>
          <w:noProof/>
          <w:sz w:val="24"/>
          <w:szCs w:val="24"/>
        </w:rPr>
        <w:drawing>
          <wp:anchor distT="0" distB="0" distL="114300" distR="114300" simplePos="0" relativeHeight="251665408" behindDoc="0" locked="0" layoutInCell="1" allowOverlap="0" wp14:anchorId="52CE2F57" wp14:editId="4AFAFCAA">
            <wp:simplePos x="0" y="0"/>
            <wp:positionH relativeFrom="page">
              <wp:posOffset>7190863</wp:posOffset>
            </wp:positionH>
            <wp:positionV relativeFrom="page">
              <wp:posOffset>944386</wp:posOffset>
            </wp:positionV>
            <wp:extent cx="6094" cy="6093"/>
            <wp:effectExtent l="0" t="0" r="0" b="0"/>
            <wp:wrapSquare wrapText="bothSides"/>
            <wp:docPr id="35859" name="Picture 35859"/>
            <wp:cNvGraphicFramePr/>
            <a:graphic xmlns:a="http://schemas.openxmlformats.org/drawingml/2006/main">
              <a:graphicData uri="http://schemas.openxmlformats.org/drawingml/2006/picture">
                <pic:pic xmlns:pic="http://schemas.openxmlformats.org/drawingml/2006/picture">
                  <pic:nvPicPr>
                    <pic:cNvPr id="35859" name="Picture 35859"/>
                    <pic:cNvPicPr/>
                  </pic:nvPicPr>
                  <pic:blipFill>
                    <a:blip r:embed="rId20"/>
                    <a:stretch>
                      <a:fillRect/>
                    </a:stretch>
                  </pic:blipFill>
                  <pic:spPr>
                    <a:xfrm>
                      <a:off x="0" y="0"/>
                      <a:ext cx="6094" cy="6093"/>
                    </a:xfrm>
                    <a:prstGeom prst="rect">
                      <a:avLst/>
                    </a:prstGeom>
                  </pic:spPr>
                </pic:pic>
              </a:graphicData>
            </a:graphic>
          </wp:anchor>
        </w:drawing>
      </w:r>
      <w:r w:rsidRPr="00165893">
        <w:rPr>
          <w:rFonts w:eastAsia="Times New Roman" w:cstheme="minorHAnsi"/>
          <w:sz w:val="24"/>
          <w:szCs w:val="24"/>
        </w:rPr>
        <w:t xml:space="preserve">Pozycja 12 to nadwyżka kapitału podstawowego </w:t>
      </w:r>
      <w:proofErr w:type="spellStart"/>
      <w:r w:rsidRPr="00165893">
        <w:rPr>
          <w:rFonts w:eastAsia="Times New Roman" w:cstheme="minorHAnsi"/>
          <w:sz w:val="24"/>
          <w:szCs w:val="24"/>
        </w:rPr>
        <w:t>Tier</w:t>
      </w:r>
      <w:proofErr w:type="spellEnd"/>
      <w:r w:rsidRPr="00165893">
        <w:rPr>
          <w:rFonts w:eastAsia="Times New Roman" w:cstheme="minorHAnsi"/>
          <w:sz w:val="24"/>
          <w:szCs w:val="24"/>
        </w:rPr>
        <w:t xml:space="preserve"> I z uwzględnieniem wymogów określonych w art. 92 CRR i art. 104a CRD.</w:t>
      </w:r>
    </w:p>
    <w:p w14:paraId="4AE27079" w14:textId="0F3DA5EB" w:rsidR="005D4AD0" w:rsidRPr="00165893" w:rsidRDefault="005D4AD0" w:rsidP="00165893">
      <w:pPr>
        <w:spacing w:line="360" w:lineRule="auto"/>
        <w:ind w:right="14"/>
        <w:jc w:val="both"/>
        <w:rPr>
          <w:rFonts w:cstheme="minorHAnsi"/>
          <w:sz w:val="24"/>
          <w:szCs w:val="24"/>
        </w:rPr>
      </w:pPr>
      <w:r w:rsidRPr="00165893">
        <w:rPr>
          <w:rFonts w:eastAsia="Times New Roman" w:cstheme="minorHAnsi"/>
          <w:sz w:val="24"/>
          <w:szCs w:val="24"/>
        </w:rPr>
        <w:t xml:space="preserve">Wskaźnik dźwigni (pozycja 13-14) - to stosunek kapitału </w:t>
      </w:r>
      <w:proofErr w:type="spellStart"/>
      <w:r w:rsidRPr="00165893">
        <w:rPr>
          <w:rFonts w:eastAsia="Times New Roman" w:cstheme="minorHAnsi"/>
          <w:sz w:val="24"/>
          <w:szCs w:val="24"/>
        </w:rPr>
        <w:t>Tier</w:t>
      </w:r>
      <w:proofErr w:type="spellEnd"/>
      <w:r w:rsidRPr="00165893">
        <w:rPr>
          <w:rFonts w:eastAsia="Times New Roman" w:cstheme="minorHAnsi"/>
          <w:sz w:val="24"/>
          <w:szCs w:val="24"/>
        </w:rPr>
        <w:t xml:space="preserve"> I do średniej wartości</w:t>
      </w:r>
      <w:r w:rsidR="000E28DE" w:rsidRPr="00165893">
        <w:rPr>
          <w:rFonts w:eastAsia="Times New Roman" w:cstheme="minorHAnsi"/>
          <w:sz w:val="24"/>
          <w:szCs w:val="24"/>
        </w:rPr>
        <w:t xml:space="preserve"> </w:t>
      </w:r>
      <w:r w:rsidRPr="00165893">
        <w:rPr>
          <w:rFonts w:eastAsia="Times New Roman" w:cstheme="minorHAnsi"/>
          <w:sz w:val="24"/>
          <w:szCs w:val="24"/>
        </w:rPr>
        <w:t xml:space="preserve">łącznych aktywów (miara </w:t>
      </w:r>
      <w:r w:rsidRPr="00165893">
        <w:rPr>
          <w:rFonts w:cstheme="minorHAnsi"/>
          <w:noProof/>
          <w:sz w:val="24"/>
          <w:szCs w:val="24"/>
        </w:rPr>
        <w:drawing>
          <wp:inline distT="0" distB="0" distL="0" distR="0" wp14:anchorId="67511CA7" wp14:editId="2DC53365">
            <wp:extent cx="6094" cy="6093"/>
            <wp:effectExtent l="0" t="0" r="0" b="0"/>
            <wp:docPr id="35863" name="Picture 35863"/>
            <wp:cNvGraphicFramePr/>
            <a:graphic xmlns:a="http://schemas.openxmlformats.org/drawingml/2006/main">
              <a:graphicData uri="http://schemas.openxmlformats.org/drawingml/2006/picture">
                <pic:pic xmlns:pic="http://schemas.openxmlformats.org/drawingml/2006/picture">
                  <pic:nvPicPr>
                    <pic:cNvPr id="35863" name="Picture 35863"/>
                    <pic:cNvPicPr/>
                  </pic:nvPicPr>
                  <pic:blipFill>
                    <a:blip r:embed="rId26"/>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 xml:space="preserve">ekspozycji całkowitej Banku jest sumą wartości ekspozycji </w:t>
      </w:r>
      <w:r w:rsidR="000E28DE" w:rsidRPr="00165893">
        <w:rPr>
          <w:rFonts w:eastAsia="Times New Roman" w:cstheme="minorHAnsi"/>
          <w:sz w:val="24"/>
          <w:szCs w:val="24"/>
        </w:rPr>
        <w:t>z</w:t>
      </w:r>
      <w:r w:rsidRPr="00165893">
        <w:rPr>
          <w:rFonts w:eastAsia="Times New Roman" w:cstheme="minorHAnsi"/>
          <w:sz w:val="24"/>
          <w:szCs w:val="24"/>
        </w:rPr>
        <w:t xml:space="preserve"> tytułu wszystkich aktywów i pozycji pozabilansowych udzielonych nieodliczonych przy </w:t>
      </w:r>
      <w:r w:rsidR="000E28DE" w:rsidRPr="00165893">
        <w:rPr>
          <w:rFonts w:eastAsia="Times New Roman" w:cstheme="minorHAnsi"/>
          <w:sz w:val="24"/>
          <w:szCs w:val="24"/>
        </w:rPr>
        <w:t>wy</w:t>
      </w:r>
      <w:r w:rsidRPr="00165893">
        <w:rPr>
          <w:rFonts w:eastAsia="Times New Roman" w:cstheme="minorHAnsi"/>
          <w:sz w:val="24"/>
          <w:szCs w:val="24"/>
        </w:rPr>
        <w:t xml:space="preserve">znaczaniu miary kapitału </w:t>
      </w:r>
      <w:proofErr w:type="spellStart"/>
      <w:r w:rsidRPr="00165893">
        <w:rPr>
          <w:rFonts w:eastAsia="Times New Roman" w:cstheme="minorHAnsi"/>
          <w:sz w:val="24"/>
          <w:szCs w:val="24"/>
        </w:rPr>
        <w:t>Tier</w:t>
      </w:r>
      <w:proofErr w:type="spellEnd"/>
      <w:r w:rsidRPr="00165893">
        <w:rPr>
          <w:rFonts w:eastAsia="Times New Roman" w:cstheme="minorHAnsi"/>
          <w:sz w:val="24"/>
          <w:szCs w:val="24"/>
        </w:rPr>
        <w:t xml:space="preserve"> I), informuje o </w:t>
      </w:r>
      <w:r w:rsidRPr="00165893">
        <w:rPr>
          <w:rFonts w:cstheme="minorHAnsi"/>
          <w:noProof/>
          <w:sz w:val="24"/>
          <w:szCs w:val="24"/>
        </w:rPr>
        <w:drawing>
          <wp:inline distT="0" distB="0" distL="0" distR="0" wp14:anchorId="015185C8" wp14:editId="2F860633">
            <wp:extent cx="6094" cy="18278"/>
            <wp:effectExtent l="0" t="0" r="0" b="0"/>
            <wp:docPr id="231202" name="Picture 231202"/>
            <wp:cNvGraphicFramePr/>
            <a:graphic xmlns:a="http://schemas.openxmlformats.org/drawingml/2006/main">
              <a:graphicData uri="http://schemas.openxmlformats.org/drawingml/2006/picture">
                <pic:pic xmlns:pic="http://schemas.openxmlformats.org/drawingml/2006/picture">
                  <pic:nvPicPr>
                    <pic:cNvPr id="231202" name="Picture 231202"/>
                    <pic:cNvPicPr/>
                  </pic:nvPicPr>
                  <pic:blipFill>
                    <a:blip r:embed="rId27"/>
                    <a:stretch>
                      <a:fillRect/>
                    </a:stretch>
                  </pic:blipFill>
                  <pic:spPr>
                    <a:xfrm>
                      <a:off x="0" y="0"/>
                      <a:ext cx="6094" cy="18278"/>
                    </a:xfrm>
                    <a:prstGeom prst="rect">
                      <a:avLst/>
                    </a:prstGeom>
                  </pic:spPr>
                </pic:pic>
              </a:graphicData>
            </a:graphic>
          </wp:inline>
        </w:drawing>
      </w:r>
      <w:r w:rsidRPr="00165893">
        <w:rPr>
          <w:rFonts w:eastAsia="Times New Roman" w:cstheme="minorHAnsi"/>
          <w:sz w:val="24"/>
          <w:szCs w:val="24"/>
        </w:rPr>
        <w:t xml:space="preserve">możliwości regulowania długoterminowych zobowiązań </w:t>
      </w:r>
      <w:r w:rsidRPr="00165893">
        <w:rPr>
          <w:rFonts w:eastAsia="Times New Roman" w:cstheme="minorHAnsi"/>
          <w:sz w:val="24"/>
          <w:szCs w:val="24"/>
        </w:rPr>
        <w:lastRenderedPageBreak/>
        <w:t xml:space="preserve">finansowych. Zgodnie </w:t>
      </w:r>
      <w:r w:rsidR="002B6692">
        <w:rPr>
          <w:rFonts w:eastAsia="Times New Roman" w:cstheme="minorHAnsi"/>
          <w:sz w:val="24"/>
          <w:szCs w:val="24"/>
        </w:rPr>
        <w:t>z</w:t>
      </w:r>
      <w:r w:rsidRPr="00165893">
        <w:rPr>
          <w:rFonts w:eastAsia="Times New Roman" w:cstheme="minorHAnsi"/>
          <w:sz w:val="24"/>
          <w:szCs w:val="24"/>
        </w:rPr>
        <w:t xml:space="preserve"> art.92 CRR II Wskaźnik dźwigni powinien być utrzymywany na poziomie minimum 3%.</w:t>
      </w:r>
      <w:r w:rsidRPr="00165893">
        <w:rPr>
          <w:rFonts w:cstheme="minorHAnsi"/>
          <w:noProof/>
          <w:sz w:val="24"/>
          <w:szCs w:val="24"/>
        </w:rPr>
        <w:drawing>
          <wp:inline distT="0" distB="0" distL="0" distR="0" wp14:anchorId="43A8A360" wp14:editId="37907ED7">
            <wp:extent cx="6094" cy="6093"/>
            <wp:effectExtent l="0" t="0" r="0" b="0"/>
            <wp:docPr id="35866" name="Picture 35866"/>
            <wp:cNvGraphicFramePr/>
            <a:graphic xmlns:a="http://schemas.openxmlformats.org/drawingml/2006/main">
              <a:graphicData uri="http://schemas.openxmlformats.org/drawingml/2006/picture">
                <pic:pic xmlns:pic="http://schemas.openxmlformats.org/drawingml/2006/picture">
                  <pic:nvPicPr>
                    <pic:cNvPr id="35866" name="Picture 35866"/>
                    <pic:cNvPicPr/>
                  </pic:nvPicPr>
                  <pic:blipFill>
                    <a:blip r:embed="rId28"/>
                    <a:stretch>
                      <a:fillRect/>
                    </a:stretch>
                  </pic:blipFill>
                  <pic:spPr>
                    <a:xfrm>
                      <a:off x="0" y="0"/>
                      <a:ext cx="6094" cy="6093"/>
                    </a:xfrm>
                    <a:prstGeom prst="rect">
                      <a:avLst/>
                    </a:prstGeom>
                  </pic:spPr>
                </pic:pic>
              </a:graphicData>
            </a:graphic>
          </wp:inline>
        </w:drawing>
      </w:r>
    </w:p>
    <w:p w14:paraId="6C01B011" w14:textId="77777777" w:rsidR="005D4AD0" w:rsidRPr="00165893" w:rsidRDefault="005D4AD0" w:rsidP="00165893">
      <w:pPr>
        <w:spacing w:after="104" w:line="360" w:lineRule="auto"/>
        <w:ind w:right="77"/>
        <w:jc w:val="both"/>
        <w:rPr>
          <w:rFonts w:cstheme="minorHAnsi"/>
          <w:sz w:val="24"/>
          <w:szCs w:val="24"/>
        </w:rPr>
      </w:pPr>
      <w:r w:rsidRPr="00165893">
        <w:rPr>
          <w:rFonts w:eastAsia="Times New Roman" w:cstheme="minorHAnsi"/>
          <w:sz w:val="24"/>
          <w:szCs w:val="24"/>
        </w:rPr>
        <w:t>Dodatkowe wymogi w zakresie funduszy własnych w celu uwzględnienia ryzyka nadmiernej dźwigni finansowej (pozycja EU-14a - EU-14b) - na dzień 31.12.2024 i 31.12.2025 nie zostały określone jako norma wiążąca Bank co jest jednoznaczne z brakiem prezentacji.</w:t>
      </w:r>
      <w:r w:rsidRPr="00165893">
        <w:rPr>
          <w:rFonts w:cstheme="minorHAnsi"/>
          <w:noProof/>
          <w:sz w:val="24"/>
          <w:szCs w:val="24"/>
        </w:rPr>
        <w:drawing>
          <wp:inline distT="0" distB="0" distL="0" distR="0" wp14:anchorId="3D5EE1E9" wp14:editId="7C0D7F62">
            <wp:extent cx="6094" cy="6093"/>
            <wp:effectExtent l="0" t="0" r="0" b="0"/>
            <wp:docPr id="35867" name="Picture 35867"/>
            <wp:cNvGraphicFramePr/>
            <a:graphic xmlns:a="http://schemas.openxmlformats.org/drawingml/2006/main">
              <a:graphicData uri="http://schemas.openxmlformats.org/drawingml/2006/picture">
                <pic:pic xmlns:pic="http://schemas.openxmlformats.org/drawingml/2006/picture">
                  <pic:nvPicPr>
                    <pic:cNvPr id="35867" name="Picture 35867"/>
                    <pic:cNvPicPr/>
                  </pic:nvPicPr>
                  <pic:blipFill>
                    <a:blip r:embed="rId20"/>
                    <a:stretch>
                      <a:fillRect/>
                    </a:stretch>
                  </pic:blipFill>
                  <pic:spPr>
                    <a:xfrm>
                      <a:off x="0" y="0"/>
                      <a:ext cx="6094" cy="6093"/>
                    </a:xfrm>
                    <a:prstGeom prst="rect">
                      <a:avLst/>
                    </a:prstGeom>
                  </pic:spPr>
                </pic:pic>
              </a:graphicData>
            </a:graphic>
          </wp:inline>
        </w:drawing>
      </w:r>
    </w:p>
    <w:p w14:paraId="5301168C" w14:textId="73F966D1" w:rsidR="005D4AD0" w:rsidRPr="00165893" w:rsidRDefault="005D4AD0" w:rsidP="00165893">
      <w:pPr>
        <w:spacing w:line="360" w:lineRule="auto"/>
        <w:ind w:left="14" w:right="96"/>
        <w:jc w:val="both"/>
      </w:pPr>
      <w:r w:rsidRPr="00165893">
        <w:rPr>
          <w:rFonts w:eastAsia="Times New Roman" w:cstheme="minorHAnsi"/>
          <w:sz w:val="24"/>
          <w:szCs w:val="24"/>
        </w:rPr>
        <w:t xml:space="preserve">Wskaźnik pokrycia "pływów netto (pozycja 15-17) - współczynnik LCR, czyli ilość nieobciążonych, </w:t>
      </w:r>
      <w:r w:rsidRPr="00165893">
        <w:rPr>
          <w:rFonts w:cstheme="minorHAnsi"/>
          <w:noProof/>
          <w:sz w:val="24"/>
          <w:szCs w:val="24"/>
        </w:rPr>
        <w:drawing>
          <wp:inline distT="0" distB="0" distL="0" distR="0" wp14:anchorId="2CDCC757" wp14:editId="2CD82E72">
            <wp:extent cx="6094" cy="6093"/>
            <wp:effectExtent l="0" t="0" r="0" b="0"/>
            <wp:docPr id="35868" name="Picture 35868"/>
            <wp:cNvGraphicFramePr/>
            <a:graphic xmlns:a="http://schemas.openxmlformats.org/drawingml/2006/main">
              <a:graphicData uri="http://schemas.openxmlformats.org/drawingml/2006/picture">
                <pic:pic xmlns:pic="http://schemas.openxmlformats.org/drawingml/2006/picture">
                  <pic:nvPicPr>
                    <pic:cNvPr id="35868" name="Picture 35868"/>
                    <pic:cNvPicPr/>
                  </pic:nvPicPr>
                  <pic:blipFill>
                    <a:blip r:embed="rId29"/>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wysokojakościowych aktywów względem gotówkowych wypływów netto przez 30 dni warunków skrajnych. Ws</w:t>
      </w:r>
      <w:r w:rsidRPr="00165893">
        <w:rPr>
          <w:rFonts w:eastAsia="Times New Roman" w:cstheme="minorHAnsi"/>
          <w:sz w:val="24"/>
          <w:szCs w:val="24"/>
          <w:u w:val="single" w:color="000000"/>
        </w:rPr>
        <w:t>kaźnik</w:t>
      </w:r>
      <w:r w:rsidRPr="00165893">
        <w:rPr>
          <w:rFonts w:eastAsia="Times New Roman" w:cstheme="minorHAnsi"/>
          <w:sz w:val="24"/>
          <w:szCs w:val="24"/>
        </w:rPr>
        <w:t xml:space="preserve"> stabilnego finansowania netto (pozycja 18-20) - współczynnik NSFR, czyli stosunek dostępnej </w:t>
      </w:r>
      <w:r w:rsidRPr="00165893">
        <w:rPr>
          <w:rFonts w:cstheme="minorHAnsi"/>
          <w:noProof/>
          <w:sz w:val="24"/>
          <w:szCs w:val="24"/>
        </w:rPr>
        <w:drawing>
          <wp:inline distT="0" distB="0" distL="0" distR="0" wp14:anchorId="7C7A9D15" wp14:editId="06E92E63">
            <wp:extent cx="6093" cy="6093"/>
            <wp:effectExtent l="0" t="0" r="0" b="0"/>
            <wp:docPr id="35869" name="Picture 35869"/>
            <wp:cNvGraphicFramePr/>
            <a:graphic xmlns:a="http://schemas.openxmlformats.org/drawingml/2006/main">
              <a:graphicData uri="http://schemas.openxmlformats.org/drawingml/2006/picture">
                <pic:pic xmlns:pic="http://schemas.openxmlformats.org/drawingml/2006/picture">
                  <pic:nvPicPr>
                    <pic:cNvPr id="35869" name="Picture 35869"/>
                    <pic:cNvPicPr/>
                  </pic:nvPicPr>
                  <pic:blipFill>
                    <a:blip r:embed="rId30"/>
                    <a:stretch>
                      <a:fillRect/>
                    </a:stretch>
                  </pic:blipFill>
                  <pic:spPr>
                    <a:xfrm>
                      <a:off x="0" y="0"/>
                      <a:ext cx="6093" cy="6093"/>
                    </a:xfrm>
                    <a:prstGeom prst="rect">
                      <a:avLst/>
                    </a:prstGeom>
                  </pic:spPr>
                </pic:pic>
              </a:graphicData>
            </a:graphic>
          </wp:inline>
        </w:drawing>
      </w:r>
      <w:r w:rsidRPr="00165893">
        <w:rPr>
          <w:rFonts w:eastAsia="Times New Roman" w:cstheme="minorHAnsi"/>
          <w:sz w:val="24"/>
          <w:szCs w:val="24"/>
        </w:rPr>
        <w:t>kwoty finansowania stabilnego (pasywa) do sumy pozycji wymagają</w:t>
      </w:r>
      <w:r w:rsidR="000E28DE" w:rsidRPr="00165893">
        <w:rPr>
          <w:rFonts w:eastAsia="Times New Roman" w:cstheme="minorHAnsi"/>
          <w:sz w:val="24"/>
          <w:szCs w:val="24"/>
        </w:rPr>
        <w:t>c</w:t>
      </w:r>
      <w:r w:rsidRPr="00165893">
        <w:rPr>
          <w:rFonts w:eastAsia="Times New Roman" w:cstheme="minorHAnsi"/>
          <w:sz w:val="24"/>
          <w:szCs w:val="24"/>
        </w:rPr>
        <w:t>ych stabilnych źródeł finansowania (aktywów). Bank powinien pokryć ryzyko płynności związane z pasywami i aktywami ważonymi czynnikami ryzyka</w:t>
      </w:r>
      <w:r w:rsidR="00927C88" w:rsidRPr="00165893">
        <w:rPr>
          <w:rFonts w:eastAsia="Times New Roman" w:cstheme="minorHAnsi"/>
          <w:sz w:val="24"/>
          <w:szCs w:val="24"/>
        </w:rPr>
        <w:t>.</w:t>
      </w:r>
    </w:p>
    <w:p w14:paraId="5FF0894D" w14:textId="77777777" w:rsidR="00D53D06" w:rsidRPr="00123F09" w:rsidRDefault="00D53D06" w:rsidP="00825A59">
      <w:pPr>
        <w:pStyle w:val="Akapitzlist"/>
        <w:spacing w:after="0" w:line="360" w:lineRule="auto"/>
        <w:ind w:left="426"/>
        <w:rPr>
          <w:rFonts w:cstheme="minorHAnsi"/>
          <w:sz w:val="24"/>
          <w:szCs w:val="24"/>
        </w:rPr>
      </w:pPr>
    </w:p>
    <w:p w14:paraId="7DBEB173" w14:textId="0A5F3126" w:rsidR="007533EF" w:rsidRPr="00123F09" w:rsidRDefault="007430BC" w:rsidP="0019554B">
      <w:pPr>
        <w:pStyle w:val="Nagwek2"/>
        <w:numPr>
          <w:ilvl w:val="0"/>
          <w:numId w:val="2"/>
        </w:numPr>
        <w:spacing w:line="360" w:lineRule="auto"/>
        <w:jc w:val="left"/>
        <w:rPr>
          <w:rFonts w:asciiTheme="minorHAnsi" w:hAnsiTheme="minorHAnsi" w:cstheme="minorHAnsi"/>
        </w:rPr>
      </w:pPr>
      <w:bookmarkStart w:id="3" w:name="_Toc170905489"/>
      <w:bookmarkStart w:id="4" w:name="_Hlk199925937"/>
      <w:bookmarkStart w:id="5" w:name="_Hlk138760759"/>
      <w:r w:rsidRPr="00123F09">
        <w:rPr>
          <w:rFonts w:asciiTheme="minorHAnsi" w:hAnsiTheme="minorHAnsi" w:cstheme="minorHAnsi"/>
        </w:rPr>
        <w:t>Ujawnienia informacji dotyczące ryzyka operacyjnego – zgodnie z Rekomendacją M KNF</w:t>
      </w:r>
      <w:bookmarkEnd w:id="3"/>
    </w:p>
    <w:p w14:paraId="00E63E82" w14:textId="77777777" w:rsidR="007533EF" w:rsidRPr="00123F09" w:rsidRDefault="007533EF" w:rsidP="00825A59">
      <w:pPr>
        <w:pStyle w:val="Akapitzlist"/>
        <w:spacing w:after="0" w:line="360" w:lineRule="auto"/>
        <w:ind w:left="426"/>
        <w:rPr>
          <w:rFonts w:cstheme="minorHAnsi"/>
          <w:sz w:val="24"/>
          <w:szCs w:val="24"/>
        </w:rPr>
      </w:pPr>
    </w:p>
    <w:p w14:paraId="3A8A6E98" w14:textId="1D2ABAB4" w:rsidR="00C949A1" w:rsidRPr="00927C88" w:rsidRDefault="00C949A1" w:rsidP="00165893">
      <w:pPr>
        <w:spacing w:after="0" w:line="360" w:lineRule="auto"/>
        <w:contextualSpacing/>
        <w:jc w:val="both"/>
        <w:rPr>
          <w:rFonts w:eastAsia="Times New Roman" w:cstheme="minorHAnsi"/>
          <w:sz w:val="24"/>
          <w:szCs w:val="24"/>
        </w:rPr>
      </w:pPr>
      <w:r w:rsidRPr="00927C88">
        <w:rPr>
          <w:rFonts w:eastAsia="Calibri" w:cstheme="minorHAnsi"/>
          <w:sz w:val="24"/>
          <w:szCs w:val="24"/>
        </w:rPr>
        <w:t>W 202</w:t>
      </w:r>
      <w:r w:rsidR="00ED206C" w:rsidRPr="00927C88">
        <w:rPr>
          <w:rFonts w:eastAsia="Calibri" w:cstheme="minorHAnsi"/>
          <w:sz w:val="24"/>
          <w:szCs w:val="24"/>
        </w:rPr>
        <w:t>5</w:t>
      </w:r>
      <w:r w:rsidRPr="00927C88">
        <w:rPr>
          <w:rFonts w:eastAsia="Calibri" w:cstheme="minorHAnsi"/>
          <w:sz w:val="24"/>
          <w:szCs w:val="24"/>
        </w:rPr>
        <w:t xml:space="preserve"> roku w Banku zostały ujawnione zdarzenia ryzyka operacyjnego, które obejmowały straty operacyjne, zaprezentowane w poniższej tabeli, na łączną kwotę </w:t>
      </w:r>
      <w:r w:rsidR="00927C88">
        <w:rPr>
          <w:rFonts w:eastAsia="Calibri" w:cstheme="minorHAnsi"/>
          <w:sz w:val="24"/>
          <w:szCs w:val="24"/>
        </w:rPr>
        <w:t>5</w:t>
      </w:r>
      <w:r w:rsidR="008B4F49" w:rsidRPr="00927C88">
        <w:rPr>
          <w:rFonts w:eastAsia="Calibri" w:cstheme="minorHAnsi"/>
          <w:sz w:val="24"/>
          <w:szCs w:val="24"/>
        </w:rPr>
        <w:t>,</w:t>
      </w:r>
      <w:r w:rsidR="00927C88">
        <w:rPr>
          <w:rFonts w:eastAsia="Calibri" w:cstheme="minorHAnsi"/>
          <w:sz w:val="24"/>
          <w:szCs w:val="24"/>
        </w:rPr>
        <w:t>54</w:t>
      </w:r>
      <w:r w:rsidRPr="00927C88">
        <w:rPr>
          <w:rFonts w:eastAsia="Calibri" w:cstheme="minorHAnsi"/>
          <w:sz w:val="24"/>
          <w:szCs w:val="24"/>
        </w:rPr>
        <w:t xml:space="preserve"> tys. zł brutto i 0</w:t>
      </w:r>
      <w:r w:rsidR="008B4F49" w:rsidRPr="00927C88">
        <w:rPr>
          <w:rFonts w:eastAsia="Calibri" w:cstheme="minorHAnsi"/>
          <w:sz w:val="24"/>
          <w:szCs w:val="24"/>
        </w:rPr>
        <w:t xml:space="preserve"> </w:t>
      </w:r>
      <w:r w:rsidRPr="00927C88">
        <w:rPr>
          <w:rFonts w:eastAsia="Calibri" w:cstheme="minorHAnsi"/>
          <w:sz w:val="24"/>
          <w:szCs w:val="24"/>
        </w:rPr>
        <w:t>zł netto.</w:t>
      </w:r>
    </w:p>
    <w:tbl>
      <w:tblPr>
        <w:tblW w:w="9660" w:type="dxa"/>
        <w:tblCellMar>
          <w:left w:w="0" w:type="dxa"/>
          <w:right w:w="0" w:type="dxa"/>
        </w:tblCellMar>
        <w:tblLook w:val="04A0" w:firstRow="1" w:lastRow="0" w:firstColumn="1" w:lastColumn="0" w:noHBand="0" w:noVBand="1"/>
      </w:tblPr>
      <w:tblGrid>
        <w:gridCol w:w="2825"/>
        <w:gridCol w:w="4567"/>
        <w:gridCol w:w="1242"/>
        <w:gridCol w:w="1026"/>
      </w:tblGrid>
      <w:tr w:rsidR="00B86EF5" w:rsidRPr="00A95C8F" w14:paraId="494514A5" w14:textId="77777777" w:rsidTr="00B16CD5">
        <w:trPr>
          <w:trHeight w:val="289"/>
        </w:trPr>
        <w:tc>
          <w:tcPr>
            <w:tcW w:w="7392" w:type="dxa"/>
            <w:gridSpan w:val="2"/>
            <w:tcBorders>
              <w:top w:val="single" w:sz="8" w:space="0" w:color="auto"/>
              <w:left w:val="single" w:sz="8" w:space="0" w:color="auto"/>
              <w:bottom w:val="single" w:sz="8" w:space="0" w:color="000000"/>
              <w:right w:val="single" w:sz="8" w:space="0" w:color="000000"/>
            </w:tcBorders>
            <w:tcMar>
              <w:top w:w="0" w:type="dxa"/>
              <w:left w:w="70" w:type="dxa"/>
              <w:bottom w:w="0" w:type="dxa"/>
              <w:right w:w="70" w:type="dxa"/>
            </w:tcMar>
            <w:hideMark/>
          </w:tcPr>
          <w:p w14:paraId="36CC9BE9" w14:textId="77777777" w:rsidR="00C949A1" w:rsidRPr="00927C88" w:rsidRDefault="00C949A1" w:rsidP="00825A59">
            <w:pPr>
              <w:autoSpaceDE w:val="0"/>
              <w:autoSpaceDN w:val="0"/>
              <w:spacing w:after="0" w:line="360" w:lineRule="auto"/>
              <w:jc w:val="center"/>
              <w:rPr>
                <w:rFonts w:eastAsia="Calibri" w:cstheme="minorHAnsi"/>
                <w:sz w:val="20"/>
                <w:szCs w:val="20"/>
                <w:lang w:eastAsia="pl-PL"/>
              </w:rPr>
            </w:pPr>
            <w:r w:rsidRPr="00927C88">
              <w:rPr>
                <w:rFonts w:eastAsia="Calibri" w:cstheme="minorHAnsi"/>
                <w:b/>
                <w:bCs/>
                <w:sz w:val="20"/>
                <w:szCs w:val="20"/>
              </w:rPr>
              <w:t xml:space="preserve">KATEGORIE ZDARZEŃ </w:t>
            </w:r>
          </w:p>
        </w:tc>
        <w:tc>
          <w:tcPr>
            <w:tcW w:w="2268" w:type="dxa"/>
            <w:gridSpan w:val="2"/>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285FCEE" w14:textId="1D681C07" w:rsidR="00C949A1" w:rsidRPr="00927C88" w:rsidRDefault="00C949A1" w:rsidP="00825A59">
            <w:pPr>
              <w:autoSpaceDE w:val="0"/>
              <w:autoSpaceDN w:val="0"/>
              <w:spacing w:after="0" w:line="360" w:lineRule="auto"/>
              <w:jc w:val="center"/>
              <w:rPr>
                <w:rFonts w:eastAsia="Calibri" w:cstheme="minorHAnsi"/>
                <w:sz w:val="20"/>
                <w:szCs w:val="20"/>
                <w:lang w:eastAsia="pl-PL"/>
              </w:rPr>
            </w:pPr>
            <w:r w:rsidRPr="00927C88">
              <w:rPr>
                <w:rFonts w:eastAsia="Calibri" w:cstheme="minorHAnsi"/>
                <w:b/>
                <w:bCs/>
                <w:sz w:val="20"/>
                <w:szCs w:val="20"/>
              </w:rPr>
              <w:t>20</w:t>
            </w:r>
            <w:r w:rsidR="00351C3E" w:rsidRPr="00927C88">
              <w:rPr>
                <w:rFonts w:eastAsia="Calibri" w:cstheme="minorHAnsi"/>
                <w:b/>
                <w:bCs/>
                <w:sz w:val="20"/>
                <w:szCs w:val="20"/>
              </w:rPr>
              <w:t>2</w:t>
            </w:r>
            <w:r w:rsidR="00ED206C" w:rsidRPr="00927C88">
              <w:rPr>
                <w:rFonts w:eastAsia="Calibri" w:cstheme="minorHAnsi"/>
                <w:b/>
                <w:bCs/>
                <w:sz w:val="20"/>
                <w:szCs w:val="20"/>
              </w:rPr>
              <w:t>5</w:t>
            </w:r>
            <w:r w:rsidRPr="00927C88">
              <w:rPr>
                <w:rFonts w:eastAsia="Calibri" w:cstheme="minorHAnsi"/>
                <w:b/>
                <w:bCs/>
                <w:sz w:val="20"/>
                <w:szCs w:val="20"/>
              </w:rPr>
              <w:t xml:space="preserve"> ROK </w:t>
            </w:r>
          </w:p>
        </w:tc>
      </w:tr>
      <w:tr w:rsidR="00B86EF5" w:rsidRPr="00A95C8F" w14:paraId="48A3D937" w14:textId="77777777" w:rsidTr="00B16CD5">
        <w:trPr>
          <w:trHeight w:val="300"/>
        </w:trPr>
        <w:tc>
          <w:tcPr>
            <w:tcW w:w="2825" w:type="dxa"/>
            <w:tcBorders>
              <w:top w:val="nil"/>
              <w:left w:val="single" w:sz="8" w:space="0" w:color="auto"/>
              <w:bottom w:val="single" w:sz="8" w:space="0" w:color="000000"/>
              <w:right w:val="single" w:sz="8" w:space="0" w:color="000000"/>
            </w:tcBorders>
            <w:tcMar>
              <w:top w:w="0" w:type="dxa"/>
              <w:left w:w="70" w:type="dxa"/>
              <w:bottom w:w="0" w:type="dxa"/>
              <w:right w:w="70" w:type="dxa"/>
            </w:tcMar>
          </w:tcPr>
          <w:p w14:paraId="7A35E424" w14:textId="77777777" w:rsidR="00C949A1" w:rsidRPr="00927C88" w:rsidRDefault="00C949A1" w:rsidP="00825A59">
            <w:pPr>
              <w:autoSpaceDE w:val="0"/>
              <w:autoSpaceDN w:val="0"/>
              <w:spacing w:after="0" w:line="360" w:lineRule="auto"/>
              <w:rPr>
                <w:rFonts w:eastAsia="Calibri" w:cstheme="minorHAnsi"/>
                <w:sz w:val="20"/>
                <w:szCs w:val="20"/>
              </w:rPr>
            </w:pPr>
            <w:r w:rsidRPr="00927C88">
              <w:rPr>
                <w:rFonts w:eastAsia="Calibri" w:cstheme="minorHAnsi"/>
                <w:b/>
                <w:bCs/>
                <w:sz w:val="20"/>
                <w:szCs w:val="20"/>
              </w:rPr>
              <w:t xml:space="preserve">Kategoria ogólna </w:t>
            </w:r>
          </w:p>
          <w:p w14:paraId="007E2FFE"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000000"/>
              <w:right w:val="single" w:sz="8" w:space="0" w:color="000000"/>
            </w:tcBorders>
            <w:tcMar>
              <w:top w:w="0" w:type="dxa"/>
              <w:left w:w="70" w:type="dxa"/>
              <w:bottom w:w="0" w:type="dxa"/>
              <w:right w:w="70" w:type="dxa"/>
            </w:tcMar>
          </w:tcPr>
          <w:p w14:paraId="0403E0F2" w14:textId="77777777" w:rsidR="00C949A1" w:rsidRPr="00927C88" w:rsidRDefault="00C949A1" w:rsidP="00825A59">
            <w:pPr>
              <w:autoSpaceDE w:val="0"/>
              <w:autoSpaceDN w:val="0"/>
              <w:spacing w:after="0" w:line="360" w:lineRule="auto"/>
              <w:rPr>
                <w:rFonts w:eastAsia="Calibri" w:cstheme="minorHAnsi"/>
                <w:sz w:val="20"/>
                <w:szCs w:val="20"/>
              </w:rPr>
            </w:pPr>
            <w:r w:rsidRPr="00927C88">
              <w:rPr>
                <w:rFonts w:eastAsia="Calibri" w:cstheme="minorHAnsi"/>
                <w:b/>
                <w:bCs/>
                <w:sz w:val="20"/>
                <w:szCs w:val="20"/>
              </w:rPr>
              <w:t xml:space="preserve">Kategoria szczegółowa </w:t>
            </w:r>
          </w:p>
          <w:p w14:paraId="23D943D6" w14:textId="77777777" w:rsidR="00C949A1" w:rsidRPr="00927C88" w:rsidRDefault="00C949A1" w:rsidP="00825A59">
            <w:pPr>
              <w:spacing w:after="0" w:line="360" w:lineRule="auto"/>
              <w:rPr>
                <w:rFonts w:eastAsia="Calibri" w:cstheme="minorHAnsi"/>
                <w:sz w:val="20"/>
                <w:szCs w:val="20"/>
                <w:lang w:eastAsia="pl-PL"/>
              </w:rPr>
            </w:pPr>
          </w:p>
        </w:tc>
        <w:tc>
          <w:tcPr>
            <w:tcW w:w="1242" w:type="dxa"/>
            <w:tcBorders>
              <w:top w:val="nil"/>
              <w:left w:val="nil"/>
              <w:bottom w:val="single" w:sz="8" w:space="0" w:color="000000"/>
              <w:right w:val="single" w:sz="8" w:space="0" w:color="auto"/>
            </w:tcBorders>
            <w:tcMar>
              <w:top w:w="0" w:type="dxa"/>
              <w:left w:w="70" w:type="dxa"/>
              <w:bottom w:w="0" w:type="dxa"/>
              <w:right w:w="70" w:type="dxa"/>
            </w:tcMar>
            <w:hideMark/>
          </w:tcPr>
          <w:p w14:paraId="610C3640" w14:textId="77777777" w:rsidR="00C949A1" w:rsidRPr="00927C88" w:rsidRDefault="00C949A1" w:rsidP="00825A59">
            <w:pPr>
              <w:spacing w:after="0" w:line="360" w:lineRule="auto"/>
              <w:jc w:val="center"/>
              <w:rPr>
                <w:rFonts w:eastAsia="Calibri" w:cstheme="minorHAnsi"/>
                <w:b/>
                <w:bCs/>
                <w:sz w:val="20"/>
                <w:szCs w:val="20"/>
                <w:lang w:eastAsia="pl-PL"/>
              </w:rPr>
            </w:pPr>
            <w:r w:rsidRPr="00927C88">
              <w:rPr>
                <w:rFonts w:eastAsia="Calibri" w:cstheme="minorHAnsi"/>
                <w:b/>
                <w:bCs/>
                <w:sz w:val="20"/>
                <w:szCs w:val="20"/>
              </w:rPr>
              <w:t xml:space="preserve">Straty brutto* </w:t>
            </w:r>
          </w:p>
        </w:tc>
        <w:tc>
          <w:tcPr>
            <w:tcW w:w="1026" w:type="dxa"/>
            <w:tcBorders>
              <w:top w:val="nil"/>
              <w:left w:val="nil"/>
              <w:bottom w:val="single" w:sz="8" w:space="0" w:color="000000"/>
              <w:right w:val="single" w:sz="8" w:space="0" w:color="000000"/>
            </w:tcBorders>
            <w:tcMar>
              <w:top w:w="0" w:type="dxa"/>
              <w:left w:w="70" w:type="dxa"/>
              <w:bottom w:w="0" w:type="dxa"/>
              <w:right w:w="70" w:type="dxa"/>
            </w:tcMar>
            <w:hideMark/>
          </w:tcPr>
          <w:p w14:paraId="2C8A1712" w14:textId="77777777" w:rsidR="00C949A1" w:rsidRPr="00927C88" w:rsidRDefault="00C949A1" w:rsidP="00825A59">
            <w:pPr>
              <w:spacing w:after="0" w:line="360" w:lineRule="auto"/>
              <w:jc w:val="center"/>
              <w:rPr>
                <w:rFonts w:eastAsia="Calibri" w:cstheme="minorHAnsi"/>
                <w:b/>
                <w:bCs/>
                <w:sz w:val="20"/>
                <w:szCs w:val="20"/>
                <w:lang w:eastAsia="pl-PL"/>
              </w:rPr>
            </w:pPr>
            <w:r w:rsidRPr="00927C88">
              <w:rPr>
                <w:rFonts w:eastAsia="Calibri" w:cstheme="minorHAnsi"/>
                <w:b/>
                <w:bCs/>
                <w:sz w:val="20"/>
                <w:szCs w:val="20"/>
              </w:rPr>
              <w:t xml:space="preserve">Straty netto** </w:t>
            </w:r>
          </w:p>
        </w:tc>
      </w:tr>
      <w:tr w:rsidR="00B86EF5" w:rsidRPr="00A95C8F" w14:paraId="6C75E05B" w14:textId="77777777" w:rsidTr="00B16CD5">
        <w:trPr>
          <w:trHeight w:val="300"/>
        </w:trPr>
        <w:tc>
          <w:tcPr>
            <w:tcW w:w="2825" w:type="dxa"/>
            <w:vMerge w:val="restart"/>
            <w:tcBorders>
              <w:top w:val="nil"/>
              <w:left w:val="single" w:sz="8" w:space="0" w:color="auto"/>
              <w:bottom w:val="single" w:sz="8" w:space="0" w:color="000000"/>
              <w:right w:val="single" w:sz="8" w:space="0" w:color="000000"/>
            </w:tcBorders>
            <w:tcMar>
              <w:top w:w="0" w:type="dxa"/>
              <w:left w:w="70" w:type="dxa"/>
              <w:bottom w:w="0" w:type="dxa"/>
              <w:right w:w="70" w:type="dxa"/>
            </w:tcMar>
            <w:hideMark/>
          </w:tcPr>
          <w:p w14:paraId="50D0FE5A"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 xml:space="preserve">1. Oszustwo wewnętrzne </w:t>
            </w: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7CBAA7B2"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1. Działania nieuprawnione</w:t>
            </w:r>
          </w:p>
        </w:tc>
        <w:tc>
          <w:tcPr>
            <w:tcW w:w="1242" w:type="dxa"/>
            <w:tcBorders>
              <w:top w:val="nil"/>
              <w:left w:val="nil"/>
              <w:bottom w:val="single" w:sz="8" w:space="0" w:color="000000"/>
              <w:right w:val="single" w:sz="8" w:space="0" w:color="auto"/>
            </w:tcBorders>
            <w:tcMar>
              <w:top w:w="0" w:type="dxa"/>
              <w:left w:w="70" w:type="dxa"/>
              <w:bottom w:w="0" w:type="dxa"/>
              <w:right w:w="70" w:type="dxa"/>
            </w:tcMar>
            <w:hideMark/>
          </w:tcPr>
          <w:p w14:paraId="1FC0522D" w14:textId="77777777" w:rsidR="00C949A1" w:rsidRPr="00927C88" w:rsidRDefault="00C949A1" w:rsidP="00825A59">
            <w:pPr>
              <w:spacing w:after="0" w:line="360" w:lineRule="auto"/>
              <w:jc w:val="center"/>
              <w:rPr>
                <w:rFonts w:eastAsia="Calibri" w:cstheme="minorHAnsi"/>
                <w:b/>
                <w:bCs/>
                <w:sz w:val="20"/>
                <w:szCs w:val="20"/>
                <w:lang w:eastAsia="pl-PL"/>
              </w:rPr>
            </w:pPr>
            <w:r w:rsidRPr="00927C88">
              <w:rPr>
                <w:rFonts w:eastAsia="Calibri" w:cstheme="minorHAnsi"/>
                <w:b/>
                <w:bCs/>
                <w:sz w:val="20"/>
                <w:szCs w:val="20"/>
                <w:lang w:eastAsia="pl-PL"/>
              </w:rPr>
              <w:t> </w:t>
            </w:r>
          </w:p>
        </w:tc>
        <w:tc>
          <w:tcPr>
            <w:tcW w:w="1026" w:type="dxa"/>
            <w:tcBorders>
              <w:top w:val="nil"/>
              <w:left w:val="nil"/>
              <w:bottom w:val="single" w:sz="8" w:space="0" w:color="000000"/>
              <w:right w:val="single" w:sz="8" w:space="0" w:color="000000"/>
            </w:tcBorders>
            <w:tcMar>
              <w:top w:w="0" w:type="dxa"/>
              <w:left w:w="70" w:type="dxa"/>
              <w:bottom w:w="0" w:type="dxa"/>
              <w:right w:w="70" w:type="dxa"/>
            </w:tcMar>
          </w:tcPr>
          <w:p w14:paraId="301D3B3A"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04466B09" w14:textId="77777777" w:rsidTr="00B16CD5">
        <w:trPr>
          <w:trHeight w:val="300"/>
        </w:trPr>
        <w:tc>
          <w:tcPr>
            <w:tcW w:w="0" w:type="auto"/>
            <w:vMerge/>
            <w:tcBorders>
              <w:top w:val="nil"/>
              <w:left w:val="single" w:sz="8" w:space="0" w:color="auto"/>
              <w:bottom w:val="single" w:sz="8" w:space="0" w:color="000000"/>
              <w:right w:val="single" w:sz="8" w:space="0" w:color="000000"/>
            </w:tcBorders>
            <w:vAlign w:val="center"/>
            <w:hideMark/>
          </w:tcPr>
          <w:p w14:paraId="012CFD6C"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3602BD2D"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2. Kradzież i oszustwo</w:t>
            </w:r>
          </w:p>
        </w:tc>
        <w:tc>
          <w:tcPr>
            <w:tcW w:w="1242" w:type="dxa"/>
            <w:tcBorders>
              <w:top w:val="nil"/>
              <w:left w:val="nil"/>
              <w:bottom w:val="single" w:sz="8" w:space="0" w:color="000000"/>
              <w:right w:val="single" w:sz="8" w:space="0" w:color="auto"/>
            </w:tcBorders>
            <w:tcMar>
              <w:top w:w="0" w:type="dxa"/>
              <w:left w:w="70" w:type="dxa"/>
              <w:bottom w:w="0" w:type="dxa"/>
              <w:right w:w="70" w:type="dxa"/>
            </w:tcMar>
            <w:hideMark/>
          </w:tcPr>
          <w:p w14:paraId="22202FE2" w14:textId="77777777" w:rsidR="00C949A1" w:rsidRPr="00927C88" w:rsidRDefault="00C949A1" w:rsidP="00825A59">
            <w:pPr>
              <w:spacing w:after="0" w:line="360" w:lineRule="auto"/>
              <w:jc w:val="center"/>
              <w:rPr>
                <w:rFonts w:eastAsia="Calibri" w:cstheme="minorHAnsi"/>
                <w:b/>
                <w:bCs/>
                <w:sz w:val="20"/>
                <w:szCs w:val="20"/>
                <w:lang w:eastAsia="pl-PL"/>
              </w:rPr>
            </w:pPr>
            <w:r w:rsidRPr="00927C88">
              <w:rPr>
                <w:rFonts w:eastAsia="Calibri" w:cstheme="minorHAnsi"/>
                <w:b/>
                <w:bCs/>
                <w:sz w:val="20"/>
                <w:szCs w:val="20"/>
                <w:lang w:eastAsia="pl-PL"/>
              </w:rPr>
              <w:t> </w:t>
            </w:r>
          </w:p>
        </w:tc>
        <w:tc>
          <w:tcPr>
            <w:tcW w:w="1026" w:type="dxa"/>
            <w:tcBorders>
              <w:top w:val="nil"/>
              <w:left w:val="nil"/>
              <w:bottom w:val="single" w:sz="8" w:space="0" w:color="000000"/>
              <w:right w:val="single" w:sz="8" w:space="0" w:color="000000"/>
            </w:tcBorders>
            <w:tcMar>
              <w:top w:w="0" w:type="dxa"/>
              <w:left w:w="70" w:type="dxa"/>
              <w:bottom w:w="0" w:type="dxa"/>
              <w:right w:w="70" w:type="dxa"/>
            </w:tcMar>
          </w:tcPr>
          <w:p w14:paraId="47D9A973"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36F524BD" w14:textId="77777777" w:rsidTr="00B16CD5">
        <w:trPr>
          <w:trHeight w:val="300"/>
        </w:trPr>
        <w:tc>
          <w:tcPr>
            <w:tcW w:w="2825" w:type="dxa"/>
            <w:vMerge w:val="restart"/>
            <w:tcBorders>
              <w:top w:val="nil"/>
              <w:left w:val="single" w:sz="8" w:space="0" w:color="auto"/>
              <w:bottom w:val="single" w:sz="8" w:space="0" w:color="000000"/>
              <w:right w:val="single" w:sz="8" w:space="0" w:color="000000"/>
            </w:tcBorders>
            <w:tcMar>
              <w:top w:w="0" w:type="dxa"/>
              <w:left w:w="70" w:type="dxa"/>
              <w:bottom w:w="0" w:type="dxa"/>
              <w:right w:w="70" w:type="dxa"/>
            </w:tcMar>
            <w:hideMark/>
          </w:tcPr>
          <w:p w14:paraId="1C84EBF9"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 xml:space="preserve">2. Oszustwo zewnętrzne </w:t>
            </w: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325D6FAC"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1. Kradzież i oszustwo</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4591E683" w14:textId="4030BC4E"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0944FEF1" w14:textId="6F4236B9"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6A073E5D" w14:textId="77777777" w:rsidTr="00B16CD5">
        <w:trPr>
          <w:trHeight w:val="300"/>
        </w:trPr>
        <w:tc>
          <w:tcPr>
            <w:tcW w:w="0" w:type="auto"/>
            <w:vMerge/>
            <w:tcBorders>
              <w:top w:val="nil"/>
              <w:left w:val="single" w:sz="8" w:space="0" w:color="auto"/>
              <w:bottom w:val="single" w:sz="8" w:space="0" w:color="000000"/>
              <w:right w:val="single" w:sz="8" w:space="0" w:color="000000"/>
            </w:tcBorders>
            <w:vAlign w:val="center"/>
            <w:hideMark/>
          </w:tcPr>
          <w:p w14:paraId="758F418C"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13D27E5D"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2. Bezpieczeństwo systemów.</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0D467BD9"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6409E0F0"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3EE201D5" w14:textId="77777777" w:rsidTr="00B16CD5">
        <w:trPr>
          <w:trHeight w:val="300"/>
        </w:trPr>
        <w:tc>
          <w:tcPr>
            <w:tcW w:w="2825" w:type="dxa"/>
            <w:vMerge w:val="restart"/>
            <w:tcBorders>
              <w:top w:val="nil"/>
              <w:left w:val="single" w:sz="8" w:space="0" w:color="auto"/>
              <w:bottom w:val="single" w:sz="8" w:space="0" w:color="000000"/>
              <w:right w:val="single" w:sz="8" w:space="0" w:color="000000"/>
            </w:tcBorders>
            <w:tcMar>
              <w:top w:w="0" w:type="dxa"/>
              <w:left w:w="70" w:type="dxa"/>
              <w:bottom w:w="0" w:type="dxa"/>
              <w:right w:w="70" w:type="dxa"/>
            </w:tcMar>
            <w:hideMark/>
          </w:tcPr>
          <w:p w14:paraId="32F05432" w14:textId="3E07F888"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3.  Zasady dotyczące zatrudnienia oraz bezpieczeństwa  w miejscu pracy</w:t>
            </w: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48DAD6E8"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1. Stosunki pracownicze</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0E736CD5"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7D22E617"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6888C295" w14:textId="77777777" w:rsidTr="00B16CD5">
        <w:trPr>
          <w:trHeight w:val="214"/>
        </w:trPr>
        <w:tc>
          <w:tcPr>
            <w:tcW w:w="0" w:type="auto"/>
            <w:vMerge/>
            <w:tcBorders>
              <w:top w:val="nil"/>
              <w:left w:val="single" w:sz="8" w:space="0" w:color="auto"/>
              <w:bottom w:val="single" w:sz="8" w:space="0" w:color="000000"/>
              <w:right w:val="single" w:sz="8" w:space="0" w:color="000000"/>
            </w:tcBorders>
            <w:vAlign w:val="center"/>
            <w:hideMark/>
          </w:tcPr>
          <w:p w14:paraId="7F6D1D6B"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180E984C"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2. Bezpieczeństwo środowiska pracy</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02F549FE"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17245976"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5F32AB97" w14:textId="77777777" w:rsidTr="00B16CD5">
        <w:trPr>
          <w:trHeight w:val="218"/>
        </w:trPr>
        <w:tc>
          <w:tcPr>
            <w:tcW w:w="0" w:type="auto"/>
            <w:vMerge/>
            <w:tcBorders>
              <w:top w:val="nil"/>
              <w:left w:val="single" w:sz="8" w:space="0" w:color="auto"/>
              <w:bottom w:val="single" w:sz="8" w:space="0" w:color="000000"/>
              <w:right w:val="single" w:sz="8" w:space="0" w:color="000000"/>
            </w:tcBorders>
            <w:vAlign w:val="center"/>
            <w:hideMark/>
          </w:tcPr>
          <w:p w14:paraId="619DC03E"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7BE4FCDC"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3. Podziały i dyskryminacja</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1AC58B2C"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2778C538"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3AC302D4" w14:textId="77777777" w:rsidTr="00B16CD5">
        <w:trPr>
          <w:trHeight w:val="483"/>
        </w:trPr>
        <w:tc>
          <w:tcPr>
            <w:tcW w:w="2825" w:type="dxa"/>
            <w:vMerge w:val="restart"/>
            <w:tcBorders>
              <w:top w:val="nil"/>
              <w:left w:val="single" w:sz="8" w:space="0" w:color="auto"/>
              <w:bottom w:val="single" w:sz="8" w:space="0" w:color="000000"/>
              <w:right w:val="single" w:sz="8" w:space="0" w:color="000000"/>
            </w:tcBorders>
            <w:tcMar>
              <w:top w:w="0" w:type="dxa"/>
              <w:left w:w="70" w:type="dxa"/>
              <w:bottom w:w="0" w:type="dxa"/>
              <w:right w:w="70" w:type="dxa"/>
            </w:tcMar>
            <w:hideMark/>
          </w:tcPr>
          <w:p w14:paraId="35EDAD2D"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 xml:space="preserve">4. Klienci, produkty i praktyka operacyjne </w:t>
            </w:r>
          </w:p>
        </w:tc>
        <w:tc>
          <w:tcPr>
            <w:tcW w:w="4567" w:type="dxa"/>
            <w:tcBorders>
              <w:top w:val="nil"/>
              <w:left w:val="nil"/>
              <w:bottom w:val="nil"/>
              <w:right w:val="single" w:sz="8" w:space="0" w:color="000000"/>
            </w:tcBorders>
            <w:tcMar>
              <w:top w:w="0" w:type="dxa"/>
              <w:left w:w="70" w:type="dxa"/>
              <w:bottom w:w="0" w:type="dxa"/>
              <w:right w:w="70" w:type="dxa"/>
            </w:tcMar>
            <w:hideMark/>
          </w:tcPr>
          <w:p w14:paraId="7A1971B5"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1. Obsługa klientów, ujawnianie informacji o klientach, zobowiązania względem klientów</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3D2C2F34"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631BC0DE"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7EDA7C59" w14:textId="77777777" w:rsidTr="00B16CD5">
        <w:trPr>
          <w:trHeight w:val="182"/>
        </w:trPr>
        <w:tc>
          <w:tcPr>
            <w:tcW w:w="0" w:type="auto"/>
            <w:vMerge/>
            <w:tcBorders>
              <w:top w:val="nil"/>
              <w:left w:val="single" w:sz="8" w:space="0" w:color="auto"/>
              <w:bottom w:val="single" w:sz="8" w:space="0" w:color="000000"/>
              <w:right w:val="single" w:sz="8" w:space="0" w:color="000000"/>
            </w:tcBorders>
            <w:vAlign w:val="center"/>
            <w:hideMark/>
          </w:tcPr>
          <w:p w14:paraId="6650545B"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single" w:sz="8" w:space="0" w:color="000000"/>
              <w:left w:val="nil"/>
              <w:bottom w:val="nil"/>
              <w:right w:val="single" w:sz="8" w:space="0" w:color="000000"/>
            </w:tcBorders>
            <w:tcMar>
              <w:top w:w="0" w:type="dxa"/>
              <w:left w:w="70" w:type="dxa"/>
              <w:bottom w:w="0" w:type="dxa"/>
              <w:right w:w="70" w:type="dxa"/>
            </w:tcMar>
            <w:hideMark/>
          </w:tcPr>
          <w:p w14:paraId="32C122FE"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2. Niewłaściwe praktyki biznesowe lub rynkowe</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36682E62"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55C843B6"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2FD97391" w14:textId="77777777" w:rsidTr="00B16CD5">
        <w:trPr>
          <w:trHeight w:val="300"/>
        </w:trPr>
        <w:tc>
          <w:tcPr>
            <w:tcW w:w="0" w:type="auto"/>
            <w:vMerge/>
            <w:tcBorders>
              <w:top w:val="nil"/>
              <w:left w:val="single" w:sz="8" w:space="0" w:color="auto"/>
              <w:bottom w:val="single" w:sz="8" w:space="0" w:color="000000"/>
              <w:right w:val="single" w:sz="8" w:space="0" w:color="000000"/>
            </w:tcBorders>
            <w:vAlign w:val="center"/>
            <w:hideMark/>
          </w:tcPr>
          <w:p w14:paraId="1EE15D5E"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single" w:sz="8" w:space="0" w:color="000000"/>
              <w:left w:val="nil"/>
              <w:bottom w:val="single" w:sz="8" w:space="0" w:color="000000"/>
              <w:right w:val="single" w:sz="8" w:space="0" w:color="000000"/>
            </w:tcBorders>
            <w:tcMar>
              <w:top w:w="0" w:type="dxa"/>
              <w:left w:w="70" w:type="dxa"/>
              <w:bottom w:w="0" w:type="dxa"/>
              <w:right w:w="70" w:type="dxa"/>
            </w:tcMar>
            <w:hideMark/>
          </w:tcPr>
          <w:p w14:paraId="46C79C84"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3. Wady produktów</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72CC44B9"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21756612"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07377B04" w14:textId="77777777" w:rsidTr="00B16CD5">
        <w:trPr>
          <w:trHeight w:val="294"/>
        </w:trPr>
        <w:tc>
          <w:tcPr>
            <w:tcW w:w="0" w:type="auto"/>
            <w:vMerge/>
            <w:tcBorders>
              <w:top w:val="nil"/>
              <w:left w:val="single" w:sz="8" w:space="0" w:color="auto"/>
              <w:bottom w:val="single" w:sz="8" w:space="0" w:color="000000"/>
              <w:right w:val="single" w:sz="8" w:space="0" w:color="000000"/>
            </w:tcBorders>
            <w:vAlign w:val="center"/>
            <w:hideMark/>
          </w:tcPr>
          <w:p w14:paraId="44334FE7"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7F8D1CAB"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4. Klasyfikacja klienta i ekspozycje</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6391BE76"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694495E6"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2F4916C0" w14:textId="77777777" w:rsidTr="00B16CD5">
        <w:trPr>
          <w:trHeight w:val="300"/>
        </w:trPr>
        <w:tc>
          <w:tcPr>
            <w:tcW w:w="0" w:type="auto"/>
            <w:vMerge/>
            <w:tcBorders>
              <w:top w:val="nil"/>
              <w:left w:val="single" w:sz="8" w:space="0" w:color="auto"/>
              <w:bottom w:val="single" w:sz="8" w:space="0" w:color="000000"/>
              <w:right w:val="single" w:sz="8" w:space="0" w:color="000000"/>
            </w:tcBorders>
            <w:vAlign w:val="center"/>
            <w:hideMark/>
          </w:tcPr>
          <w:p w14:paraId="7676EF7D"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4BCE809A"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5. Usługi doradcze</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4C2866E4"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45001597"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2F0010F8" w14:textId="77777777" w:rsidTr="00B16CD5">
        <w:trPr>
          <w:trHeight w:val="468"/>
        </w:trPr>
        <w:tc>
          <w:tcPr>
            <w:tcW w:w="2825" w:type="dxa"/>
            <w:tcBorders>
              <w:top w:val="nil"/>
              <w:left w:val="single" w:sz="8" w:space="0" w:color="auto"/>
              <w:bottom w:val="nil"/>
              <w:right w:val="single" w:sz="8" w:space="0" w:color="000000"/>
            </w:tcBorders>
            <w:tcMar>
              <w:top w:w="0" w:type="dxa"/>
              <w:left w:w="70" w:type="dxa"/>
              <w:bottom w:w="0" w:type="dxa"/>
              <w:right w:w="70" w:type="dxa"/>
            </w:tcMar>
            <w:hideMark/>
          </w:tcPr>
          <w:p w14:paraId="21FA95E0"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5. Szkody związane z aktywami rzeczowymi</w:t>
            </w:r>
          </w:p>
        </w:tc>
        <w:tc>
          <w:tcPr>
            <w:tcW w:w="4567" w:type="dxa"/>
            <w:tcBorders>
              <w:top w:val="nil"/>
              <w:left w:val="nil"/>
              <w:bottom w:val="single" w:sz="8" w:space="0" w:color="000000"/>
              <w:right w:val="single" w:sz="8" w:space="0" w:color="000000"/>
            </w:tcBorders>
            <w:tcMar>
              <w:top w:w="0" w:type="dxa"/>
              <w:left w:w="70" w:type="dxa"/>
              <w:bottom w:w="0" w:type="dxa"/>
              <w:right w:w="70" w:type="dxa"/>
            </w:tcMar>
            <w:hideMark/>
          </w:tcPr>
          <w:p w14:paraId="255468DA"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Klęski żywiołowe i inne zdarzenia.</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324728B2" w14:textId="77777777" w:rsidR="00C949A1" w:rsidRPr="00927C88" w:rsidRDefault="00C949A1" w:rsidP="00825A59">
            <w:pPr>
              <w:spacing w:after="0" w:line="360" w:lineRule="auto"/>
              <w:jc w:val="center"/>
              <w:rPr>
                <w:rFonts w:eastAsia="Calibri" w:cstheme="minorHAnsi"/>
                <w:sz w:val="20"/>
                <w:szCs w:val="20"/>
                <w:lang w:eastAsia="pl-PL"/>
              </w:rPr>
            </w:pPr>
            <w:r w:rsidRPr="00927C88">
              <w:rPr>
                <w:rFonts w:eastAsia="Calibri" w:cstheme="minorHAnsi"/>
                <w:sz w:val="20"/>
                <w:szCs w:val="20"/>
                <w:lang w:eastAsia="pl-PL"/>
              </w:rPr>
              <w:t xml:space="preserve">                </w:t>
            </w: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6EF102A9"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3B5CAA71" w14:textId="77777777" w:rsidTr="00B16CD5">
        <w:trPr>
          <w:trHeight w:val="300"/>
        </w:trPr>
        <w:tc>
          <w:tcPr>
            <w:tcW w:w="282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097D26F"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6. Zakłócenia działalności i awarie systemów</w:t>
            </w: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4B70CC15"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1. Systemy</w:t>
            </w:r>
          </w:p>
        </w:tc>
        <w:tc>
          <w:tcPr>
            <w:tcW w:w="1242" w:type="dxa"/>
            <w:tcBorders>
              <w:top w:val="nil"/>
              <w:left w:val="nil"/>
              <w:bottom w:val="single" w:sz="8" w:space="0" w:color="auto"/>
              <w:right w:val="single" w:sz="8" w:space="0" w:color="auto"/>
            </w:tcBorders>
            <w:tcMar>
              <w:top w:w="0" w:type="dxa"/>
              <w:left w:w="70" w:type="dxa"/>
              <w:bottom w:w="0" w:type="dxa"/>
              <w:right w:w="70" w:type="dxa"/>
            </w:tcMar>
          </w:tcPr>
          <w:p w14:paraId="415220B7" w14:textId="77777777" w:rsidR="00C949A1" w:rsidRPr="00927C88" w:rsidRDefault="00C949A1" w:rsidP="00825A59">
            <w:pPr>
              <w:spacing w:after="0" w:line="360" w:lineRule="auto"/>
              <w:jc w:val="center"/>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06BDD337" w14:textId="77777777"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74B628C1" w14:textId="77777777" w:rsidTr="00B16CD5">
        <w:trPr>
          <w:trHeight w:val="14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D037323"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3864E77F"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2. Bankomaty</w:t>
            </w:r>
          </w:p>
        </w:tc>
        <w:tc>
          <w:tcPr>
            <w:tcW w:w="1242" w:type="dxa"/>
            <w:tcBorders>
              <w:top w:val="nil"/>
              <w:left w:val="nil"/>
              <w:bottom w:val="single" w:sz="8" w:space="0" w:color="auto"/>
              <w:right w:val="single" w:sz="8" w:space="0" w:color="auto"/>
            </w:tcBorders>
            <w:tcMar>
              <w:top w:w="0" w:type="dxa"/>
              <w:left w:w="70" w:type="dxa"/>
              <w:bottom w:w="0" w:type="dxa"/>
              <w:right w:w="70" w:type="dxa"/>
            </w:tcMar>
          </w:tcPr>
          <w:p w14:paraId="1211CEA1" w14:textId="2351BEC4" w:rsidR="00C949A1" w:rsidRPr="00927C88" w:rsidRDefault="00C949A1" w:rsidP="00825A59">
            <w:pPr>
              <w:spacing w:after="0" w:line="360" w:lineRule="auto"/>
              <w:jc w:val="center"/>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5030A1A5" w14:textId="10B6164D" w:rsidR="00C949A1" w:rsidRPr="00927C88" w:rsidRDefault="00C949A1" w:rsidP="00825A59">
            <w:pPr>
              <w:spacing w:after="0" w:line="360" w:lineRule="auto"/>
              <w:jc w:val="center"/>
              <w:rPr>
                <w:rFonts w:eastAsia="Calibri" w:cstheme="minorHAnsi"/>
                <w:sz w:val="20"/>
                <w:szCs w:val="20"/>
                <w:lang w:eastAsia="pl-PL"/>
              </w:rPr>
            </w:pPr>
          </w:p>
        </w:tc>
      </w:tr>
      <w:tr w:rsidR="00B86EF5" w:rsidRPr="00A95C8F" w14:paraId="5498A0A0" w14:textId="77777777" w:rsidTr="00B16CD5">
        <w:trPr>
          <w:trHeight w:val="118"/>
        </w:trPr>
        <w:tc>
          <w:tcPr>
            <w:tcW w:w="282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0B4670F3"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7. Wykonywanie transakcji, dostawa i zarządzanie procesami operacyjnymi</w:t>
            </w: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2867BF12"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 xml:space="preserve">1. Wprowadzanie do systemu, wykonywanie </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2F19D022" w14:textId="4049C440" w:rsidR="00C949A1" w:rsidRPr="00927C88" w:rsidRDefault="008B4F49"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 xml:space="preserve">        </w:t>
            </w:r>
            <w:r w:rsidR="00927C88">
              <w:rPr>
                <w:rFonts w:eastAsia="Calibri" w:cstheme="minorHAnsi"/>
                <w:sz w:val="20"/>
                <w:szCs w:val="20"/>
                <w:lang w:eastAsia="pl-PL"/>
              </w:rPr>
              <w:t>5,54</w:t>
            </w: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0C5283D8" w14:textId="618DEF85" w:rsidR="00C949A1" w:rsidRPr="00927C88" w:rsidRDefault="00D6493A" w:rsidP="00825A59">
            <w:pPr>
              <w:spacing w:after="0" w:line="360" w:lineRule="auto"/>
              <w:jc w:val="center"/>
              <w:rPr>
                <w:rFonts w:eastAsia="Calibri" w:cstheme="minorHAnsi"/>
                <w:sz w:val="20"/>
                <w:szCs w:val="20"/>
                <w:lang w:eastAsia="pl-PL"/>
              </w:rPr>
            </w:pPr>
            <w:r w:rsidRPr="00927C88">
              <w:rPr>
                <w:rFonts w:eastAsia="Calibri" w:cstheme="minorHAnsi"/>
                <w:sz w:val="20"/>
                <w:szCs w:val="20"/>
                <w:lang w:eastAsia="pl-PL"/>
              </w:rPr>
              <w:t>0,</w:t>
            </w:r>
            <w:r w:rsidR="00927C88">
              <w:rPr>
                <w:rFonts w:eastAsia="Calibri" w:cstheme="minorHAnsi"/>
                <w:sz w:val="20"/>
                <w:szCs w:val="20"/>
                <w:lang w:eastAsia="pl-PL"/>
              </w:rPr>
              <w:t>00</w:t>
            </w:r>
          </w:p>
        </w:tc>
      </w:tr>
      <w:tr w:rsidR="00B86EF5" w:rsidRPr="00A95C8F" w14:paraId="0976C616" w14:textId="77777777" w:rsidTr="00B16CD5">
        <w:trPr>
          <w:trHeight w:val="262"/>
        </w:trPr>
        <w:tc>
          <w:tcPr>
            <w:tcW w:w="0" w:type="auto"/>
            <w:vMerge/>
            <w:tcBorders>
              <w:top w:val="nil"/>
              <w:left w:val="single" w:sz="8" w:space="0" w:color="auto"/>
              <w:bottom w:val="single" w:sz="8" w:space="0" w:color="000000"/>
              <w:right w:val="single" w:sz="8" w:space="0" w:color="auto"/>
            </w:tcBorders>
            <w:vAlign w:val="center"/>
            <w:hideMark/>
          </w:tcPr>
          <w:p w14:paraId="7E570BF0"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6C71F304"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2. Monitorowanie i sprawozdawczość</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6A84D1F8"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0477F821"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573ECE6A" w14:textId="77777777" w:rsidTr="00B16CD5">
        <w:trPr>
          <w:trHeight w:val="279"/>
        </w:trPr>
        <w:tc>
          <w:tcPr>
            <w:tcW w:w="0" w:type="auto"/>
            <w:vMerge/>
            <w:tcBorders>
              <w:top w:val="nil"/>
              <w:left w:val="single" w:sz="8" w:space="0" w:color="auto"/>
              <w:bottom w:val="single" w:sz="8" w:space="0" w:color="000000"/>
              <w:right w:val="single" w:sz="8" w:space="0" w:color="auto"/>
            </w:tcBorders>
            <w:vAlign w:val="center"/>
            <w:hideMark/>
          </w:tcPr>
          <w:p w14:paraId="2C99E108"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265ABBBC"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3. Dokumentacja dotycząca klienta</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01E0EE3F"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2D209D49"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12CA37A3" w14:textId="77777777" w:rsidTr="00B16CD5">
        <w:trPr>
          <w:trHeight w:val="270"/>
        </w:trPr>
        <w:tc>
          <w:tcPr>
            <w:tcW w:w="0" w:type="auto"/>
            <w:vMerge/>
            <w:tcBorders>
              <w:top w:val="nil"/>
              <w:left w:val="single" w:sz="8" w:space="0" w:color="auto"/>
              <w:bottom w:val="single" w:sz="8" w:space="0" w:color="000000"/>
              <w:right w:val="single" w:sz="8" w:space="0" w:color="auto"/>
            </w:tcBorders>
            <w:vAlign w:val="center"/>
            <w:hideMark/>
          </w:tcPr>
          <w:p w14:paraId="1F81A1A2"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4B22979F"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4. Zarządzania rachunkami klientów</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091F8B74"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1A3588B5"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5E47FD01" w14:textId="77777777" w:rsidTr="00B16CD5">
        <w:trPr>
          <w:trHeight w:val="273"/>
        </w:trPr>
        <w:tc>
          <w:tcPr>
            <w:tcW w:w="0" w:type="auto"/>
            <w:vMerge/>
            <w:tcBorders>
              <w:top w:val="nil"/>
              <w:left w:val="single" w:sz="8" w:space="0" w:color="auto"/>
              <w:bottom w:val="single" w:sz="8" w:space="0" w:color="000000"/>
              <w:right w:val="single" w:sz="8" w:space="0" w:color="auto"/>
            </w:tcBorders>
            <w:vAlign w:val="center"/>
            <w:hideMark/>
          </w:tcPr>
          <w:p w14:paraId="72C51E4F"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0F28C273"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5. Uczestnicy procesów nie będący klientami Banku</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29B87219"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23FDE507"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514593AA" w14:textId="77777777" w:rsidTr="00B16CD5">
        <w:trPr>
          <w:trHeight w:val="300"/>
        </w:trPr>
        <w:tc>
          <w:tcPr>
            <w:tcW w:w="0" w:type="auto"/>
            <w:vMerge/>
            <w:tcBorders>
              <w:top w:val="nil"/>
              <w:left w:val="single" w:sz="8" w:space="0" w:color="auto"/>
              <w:bottom w:val="single" w:sz="8" w:space="0" w:color="000000"/>
              <w:right w:val="single" w:sz="8" w:space="0" w:color="auto"/>
            </w:tcBorders>
            <w:vAlign w:val="center"/>
            <w:hideMark/>
          </w:tcPr>
          <w:p w14:paraId="0AC209CD"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50FEA94E"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6. Sprzedawcy i dostawcy</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54B1F924"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4AAFB1D2"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7FFC9CDC" w14:textId="77777777" w:rsidTr="00B16CD5">
        <w:trPr>
          <w:trHeight w:val="253"/>
        </w:trPr>
        <w:tc>
          <w:tcPr>
            <w:tcW w:w="0" w:type="auto"/>
            <w:vMerge/>
            <w:tcBorders>
              <w:top w:val="nil"/>
              <w:left w:val="single" w:sz="8" w:space="0" w:color="auto"/>
              <w:bottom w:val="single" w:sz="8" w:space="0" w:color="000000"/>
              <w:right w:val="single" w:sz="8" w:space="0" w:color="auto"/>
            </w:tcBorders>
            <w:vAlign w:val="center"/>
            <w:hideMark/>
          </w:tcPr>
          <w:p w14:paraId="753EBA72" w14:textId="77777777" w:rsidR="00C949A1" w:rsidRPr="00927C88" w:rsidRDefault="00C949A1" w:rsidP="00825A59">
            <w:pPr>
              <w:spacing w:after="0" w:line="360" w:lineRule="auto"/>
              <w:rPr>
                <w:rFonts w:eastAsia="Calibri" w:cstheme="minorHAnsi"/>
                <w:sz w:val="20"/>
                <w:szCs w:val="20"/>
                <w:lang w:eastAsia="pl-PL"/>
              </w:rPr>
            </w:pPr>
          </w:p>
        </w:tc>
        <w:tc>
          <w:tcPr>
            <w:tcW w:w="4567" w:type="dxa"/>
            <w:tcBorders>
              <w:top w:val="nil"/>
              <w:left w:val="nil"/>
              <w:bottom w:val="single" w:sz="8" w:space="0" w:color="auto"/>
              <w:right w:val="single" w:sz="8" w:space="0" w:color="auto"/>
            </w:tcBorders>
            <w:tcMar>
              <w:top w:w="0" w:type="dxa"/>
              <w:left w:w="70" w:type="dxa"/>
              <w:bottom w:w="0" w:type="dxa"/>
              <w:right w:w="70" w:type="dxa"/>
            </w:tcMar>
            <w:hideMark/>
          </w:tcPr>
          <w:p w14:paraId="02839184"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7. Usunięcia dokumentów księgowych</w:t>
            </w:r>
          </w:p>
        </w:tc>
        <w:tc>
          <w:tcPr>
            <w:tcW w:w="1242" w:type="dxa"/>
            <w:tcBorders>
              <w:top w:val="nil"/>
              <w:left w:val="nil"/>
              <w:bottom w:val="single" w:sz="8" w:space="0" w:color="auto"/>
              <w:right w:val="single" w:sz="8" w:space="0" w:color="auto"/>
            </w:tcBorders>
            <w:tcMar>
              <w:top w:w="0" w:type="dxa"/>
              <w:left w:w="70" w:type="dxa"/>
              <w:bottom w:w="0" w:type="dxa"/>
              <w:right w:w="70" w:type="dxa"/>
            </w:tcMar>
            <w:hideMark/>
          </w:tcPr>
          <w:p w14:paraId="0C72303A" w14:textId="77777777" w:rsidR="00C949A1" w:rsidRPr="00927C88" w:rsidRDefault="00C949A1" w:rsidP="00825A59">
            <w:pPr>
              <w:spacing w:after="0" w:line="360" w:lineRule="auto"/>
              <w:rPr>
                <w:rFonts w:eastAsia="Calibri" w:cstheme="minorHAnsi"/>
                <w:sz w:val="20"/>
                <w:szCs w:val="20"/>
                <w:lang w:eastAsia="pl-PL"/>
              </w:rPr>
            </w:pP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13B0C830" w14:textId="77777777" w:rsidR="00C949A1" w:rsidRPr="00927C88" w:rsidRDefault="00C949A1" w:rsidP="00825A59">
            <w:pPr>
              <w:spacing w:after="0" w:line="360" w:lineRule="auto"/>
              <w:jc w:val="center"/>
              <w:rPr>
                <w:rFonts w:eastAsia="Calibri" w:cstheme="minorHAnsi"/>
                <w:b/>
                <w:bCs/>
                <w:sz w:val="20"/>
                <w:szCs w:val="20"/>
                <w:lang w:eastAsia="pl-PL"/>
              </w:rPr>
            </w:pPr>
          </w:p>
        </w:tc>
      </w:tr>
      <w:tr w:rsidR="00B86EF5" w:rsidRPr="00A95C8F" w14:paraId="3935675F" w14:textId="77777777" w:rsidTr="00B16CD5">
        <w:trPr>
          <w:trHeight w:val="315"/>
        </w:trPr>
        <w:tc>
          <w:tcPr>
            <w:tcW w:w="2825"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14:paraId="191AA729" w14:textId="77777777" w:rsidR="00C949A1" w:rsidRPr="00927C88" w:rsidRDefault="00C949A1" w:rsidP="00825A59">
            <w:pPr>
              <w:spacing w:after="0" w:line="360" w:lineRule="auto"/>
              <w:rPr>
                <w:rFonts w:eastAsia="Calibri" w:cstheme="minorHAnsi"/>
                <w:sz w:val="20"/>
                <w:szCs w:val="20"/>
                <w:lang w:eastAsia="pl-PL"/>
              </w:rPr>
            </w:pPr>
            <w:r w:rsidRPr="00927C88">
              <w:rPr>
                <w:rFonts w:eastAsia="Calibri" w:cstheme="minorHAnsi"/>
                <w:sz w:val="20"/>
                <w:szCs w:val="20"/>
                <w:lang w:eastAsia="pl-PL"/>
              </w:rPr>
              <w:t> </w:t>
            </w:r>
          </w:p>
        </w:tc>
        <w:tc>
          <w:tcPr>
            <w:tcW w:w="456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8B9C19" w14:textId="77777777" w:rsidR="00C949A1" w:rsidRPr="00927C88" w:rsidRDefault="00C949A1" w:rsidP="00825A59">
            <w:pPr>
              <w:spacing w:after="0" w:line="360" w:lineRule="auto"/>
              <w:rPr>
                <w:rFonts w:eastAsia="Calibri" w:cstheme="minorHAnsi"/>
                <w:b/>
                <w:bCs/>
                <w:sz w:val="20"/>
                <w:szCs w:val="20"/>
                <w:lang w:eastAsia="pl-PL"/>
              </w:rPr>
            </w:pPr>
            <w:r w:rsidRPr="00927C88">
              <w:rPr>
                <w:rFonts w:eastAsia="Calibri" w:cstheme="minorHAnsi"/>
                <w:b/>
                <w:bCs/>
                <w:sz w:val="20"/>
                <w:szCs w:val="20"/>
                <w:lang w:eastAsia="pl-PL"/>
              </w:rPr>
              <w:t>RAZEM</w:t>
            </w:r>
          </w:p>
        </w:tc>
        <w:tc>
          <w:tcPr>
            <w:tcW w:w="1242" w:type="dxa"/>
            <w:tcBorders>
              <w:top w:val="nil"/>
              <w:left w:val="nil"/>
              <w:bottom w:val="single" w:sz="8" w:space="0" w:color="auto"/>
              <w:right w:val="single" w:sz="8" w:space="0" w:color="auto"/>
            </w:tcBorders>
            <w:noWrap/>
            <w:tcMar>
              <w:top w:w="0" w:type="dxa"/>
              <w:left w:w="70" w:type="dxa"/>
              <w:bottom w:w="0" w:type="dxa"/>
              <w:right w:w="70" w:type="dxa"/>
            </w:tcMar>
            <w:hideMark/>
          </w:tcPr>
          <w:p w14:paraId="3CF03A82" w14:textId="7C65BE31" w:rsidR="00C949A1" w:rsidRPr="00927C88" w:rsidRDefault="008B4F49" w:rsidP="00825A59">
            <w:pPr>
              <w:spacing w:after="0" w:line="360" w:lineRule="auto"/>
              <w:rPr>
                <w:rFonts w:eastAsia="Calibri" w:cstheme="minorHAnsi"/>
                <w:b/>
                <w:bCs/>
                <w:sz w:val="20"/>
                <w:szCs w:val="20"/>
                <w:lang w:eastAsia="pl-PL"/>
              </w:rPr>
            </w:pPr>
            <w:r w:rsidRPr="00927C88">
              <w:rPr>
                <w:rFonts w:eastAsia="Calibri" w:cstheme="minorHAnsi"/>
                <w:b/>
                <w:bCs/>
                <w:sz w:val="20"/>
                <w:szCs w:val="20"/>
                <w:lang w:eastAsia="pl-PL"/>
              </w:rPr>
              <w:t xml:space="preserve"> </w:t>
            </w:r>
            <w:r w:rsidR="00DE125D" w:rsidRPr="00927C88">
              <w:rPr>
                <w:rFonts w:eastAsia="Calibri" w:cstheme="minorHAnsi"/>
                <w:b/>
                <w:bCs/>
                <w:sz w:val="20"/>
                <w:szCs w:val="20"/>
                <w:lang w:eastAsia="pl-PL"/>
              </w:rPr>
              <w:t xml:space="preserve">       </w:t>
            </w:r>
            <w:r w:rsidR="00927C88">
              <w:rPr>
                <w:rFonts w:eastAsia="Calibri" w:cstheme="minorHAnsi"/>
                <w:b/>
                <w:bCs/>
                <w:sz w:val="20"/>
                <w:szCs w:val="20"/>
                <w:lang w:eastAsia="pl-PL"/>
              </w:rPr>
              <w:t>5,54</w:t>
            </w:r>
          </w:p>
        </w:tc>
        <w:tc>
          <w:tcPr>
            <w:tcW w:w="1026" w:type="dxa"/>
            <w:tcBorders>
              <w:top w:val="nil"/>
              <w:left w:val="nil"/>
              <w:bottom w:val="single" w:sz="8" w:space="0" w:color="auto"/>
              <w:right w:val="single" w:sz="8" w:space="0" w:color="auto"/>
            </w:tcBorders>
            <w:tcMar>
              <w:top w:w="0" w:type="dxa"/>
              <w:left w:w="70" w:type="dxa"/>
              <w:bottom w:w="0" w:type="dxa"/>
              <w:right w:w="70" w:type="dxa"/>
            </w:tcMar>
          </w:tcPr>
          <w:p w14:paraId="67015561" w14:textId="5C5739C4" w:rsidR="00C949A1" w:rsidRPr="00927C88" w:rsidRDefault="00DE3855" w:rsidP="00825A59">
            <w:pPr>
              <w:spacing w:after="0" w:line="360" w:lineRule="auto"/>
              <w:jc w:val="center"/>
              <w:rPr>
                <w:rFonts w:eastAsia="Calibri" w:cstheme="minorHAnsi"/>
                <w:b/>
                <w:bCs/>
                <w:sz w:val="20"/>
                <w:szCs w:val="20"/>
                <w:lang w:eastAsia="pl-PL"/>
              </w:rPr>
            </w:pPr>
            <w:r w:rsidRPr="00927C88">
              <w:rPr>
                <w:rFonts w:eastAsia="Calibri" w:cstheme="minorHAnsi"/>
                <w:b/>
                <w:bCs/>
                <w:sz w:val="20"/>
                <w:szCs w:val="20"/>
                <w:lang w:eastAsia="pl-PL"/>
              </w:rPr>
              <w:t>0</w:t>
            </w:r>
            <w:r w:rsidR="00D6493A" w:rsidRPr="00927C88">
              <w:rPr>
                <w:rFonts w:eastAsia="Calibri" w:cstheme="minorHAnsi"/>
                <w:b/>
                <w:bCs/>
                <w:sz w:val="20"/>
                <w:szCs w:val="20"/>
                <w:lang w:eastAsia="pl-PL"/>
              </w:rPr>
              <w:t>,</w:t>
            </w:r>
            <w:r w:rsidR="00927C88">
              <w:rPr>
                <w:rFonts w:eastAsia="Calibri" w:cstheme="minorHAnsi"/>
                <w:b/>
                <w:bCs/>
                <w:sz w:val="20"/>
                <w:szCs w:val="20"/>
                <w:lang w:eastAsia="pl-PL"/>
              </w:rPr>
              <w:t>00</w:t>
            </w:r>
          </w:p>
        </w:tc>
      </w:tr>
    </w:tbl>
    <w:p w14:paraId="50CB6806" w14:textId="078F6005" w:rsidR="00C949A1" w:rsidRPr="00825A59" w:rsidRDefault="00C949A1" w:rsidP="00825A59">
      <w:pPr>
        <w:autoSpaceDE w:val="0"/>
        <w:autoSpaceDN w:val="0"/>
        <w:spacing w:after="0" w:line="360" w:lineRule="auto"/>
        <w:rPr>
          <w:rFonts w:eastAsia="Calibri" w:cstheme="minorHAnsi"/>
          <w:sz w:val="16"/>
          <w:szCs w:val="16"/>
        </w:rPr>
      </w:pPr>
      <w:r w:rsidRPr="00825A59">
        <w:rPr>
          <w:rFonts w:eastAsia="Calibri" w:cstheme="minorHAnsi"/>
          <w:sz w:val="16"/>
          <w:szCs w:val="16"/>
        </w:rPr>
        <w:t>* Straty brutto według stanu na 31.12.20</w:t>
      </w:r>
      <w:r w:rsidR="00BF21BD" w:rsidRPr="00825A59">
        <w:rPr>
          <w:rFonts w:eastAsia="Calibri" w:cstheme="minorHAnsi"/>
          <w:sz w:val="16"/>
          <w:szCs w:val="16"/>
        </w:rPr>
        <w:t>25</w:t>
      </w:r>
      <w:r w:rsidRPr="00825A59">
        <w:rPr>
          <w:rFonts w:eastAsia="Calibri" w:cstheme="minorHAnsi"/>
          <w:sz w:val="16"/>
          <w:szCs w:val="16"/>
        </w:rPr>
        <w:t xml:space="preserve">r. obejmują straty zrealizowane (np. rezerwy, odpisy, koszty), jak i straty, które nie zostały jeszcze zrealizowane, nie uwzględniają z kolei odzysków bezpośrednich ani odzysków z tytułu mechanizmów transferu ryzyka </w:t>
      </w:r>
    </w:p>
    <w:p w14:paraId="26629715" w14:textId="77777777" w:rsidR="00C949A1" w:rsidRPr="00825A59" w:rsidRDefault="00C949A1" w:rsidP="00825A59">
      <w:pPr>
        <w:autoSpaceDE w:val="0"/>
        <w:autoSpaceDN w:val="0"/>
        <w:spacing w:after="0" w:line="360" w:lineRule="auto"/>
        <w:rPr>
          <w:rFonts w:eastAsia="Calibri" w:cstheme="minorHAnsi"/>
          <w:sz w:val="16"/>
          <w:szCs w:val="16"/>
        </w:rPr>
      </w:pPr>
    </w:p>
    <w:p w14:paraId="2F4ABF7F" w14:textId="551AF177" w:rsidR="00C949A1" w:rsidRPr="00825A59" w:rsidRDefault="00C949A1" w:rsidP="00825A59">
      <w:pPr>
        <w:spacing w:after="0" w:line="360" w:lineRule="auto"/>
        <w:contextualSpacing/>
        <w:rPr>
          <w:rFonts w:eastAsia="Calibri" w:cstheme="minorHAnsi"/>
          <w:sz w:val="24"/>
          <w:szCs w:val="24"/>
        </w:rPr>
      </w:pPr>
      <w:r w:rsidRPr="00825A59">
        <w:rPr>
          <w:rFonts w:eastAsia="Calibri" w:cstheme="minorHAnsi"/>
          <w:sz w:val="16"/>
          <w:szCs w:val="16"/>
        </w:rPr>
        <w:t>**Straty netto według stanu na 31.12.202</w:t>
      </w:r>
      <w:r w:rsidR="00BF21BD" w:rsidRPr="00825A59">
        <w:rPr>
          <w:rFonts w:eastAsia="Calibri" w:cstheme="minorHAnsi"/>
          <w:sz w:val="16"/>
          <w:szCs w:val="16"/>
        </w:rPr>
        <w:t>5</w:t>
      </w:r>
      <w:r w:rsidRPr="00825A59">
        <w:rPr>
          <w:rFonts w:eastAsia="Calibri" w:cstheme="minorHAnsi"/>
          <w:sz w:val="16"/>
          <w:szCs w:val="16"/>
        </w:rPr>
        <w:t>r. obejmują straty zrealizowane (np. rezerwy, odpisy, koszty) po uwzględnieniu odzysków bezpośrednich oraz odzysków z tytułu mechanizmów transferu ryzyka</w:t>
      </w:r>
    </w:p>
    <w:p w14:paraId="0E877128" w14:textId="77777777" w:rsidR="00825A59" w:rsidRDefault="00825A59" w:rsidP="00825A59">
      <w:pPr>
        <w:spacing w:line="360" w:lineRule="auto"/>
        <w:rPr>
          <w:rFonts w:eastAsia="Times New Roman" w:cstheme="minorHAnsi"/>
          <w:color w:val="7030A0"/>
          <w:sz w:val="24"/>
          <w:szCs w:val="24"/>
        </w:rPr>
      </w:pPr>
    </w:p>
    <w:p w14:paraId="40287017" w14:textId="3DDAD0C2" w:rsidR="00BF21BD" w:rsidRPr="00165893" w:rsidRDefault="00BF21BD" w:rsidP="00165893">
      <w:pPr>
        <w:spacing w:line="360" w:lineRule="auto"/>
        <w:jc w:val="both"/>
        <w:rPr>
          <w:rFonts w:cstheme="minorHAnsi"/>
          <w:sz w:val="24"/>
          <w:szCs w:val="24"/>
        </w:rPr>
      </w:pPr>
      <w:r w:rsidRPr="00165893">
        <w:rPr>
          <w:rFonts w:eastAsia="Times New Roman" w:cstheme="minorHAnsi"/>
          <w:sz w:val="24"/>
          <w:szCs w:val="24"/>
        </w:rPr>
        <w:t xml:space="preserve">Zarządzanie ryzykiem operacyjnym obejmuje wszystkie istotne obszary działalności Banku, w tym: produkty, procesy i systemy. Uwzględnia czynniki zewnętrzne, tj. otoczenie, w którym działa Bank oraz czynniki wewnętrzne takie jak np.: struktura organizacyjna Banku, specyfika działalności, realizowane procesy, posiadane produkty, kanały dostępu do usług, użytkowane systemy informatyczne, specyfikę klientów, skargi </w:t>
      </w:r>
      <w:r w:rsidRPr="00165893">
        <w:rPr>
          <w:rFonts w:cstheme="minorHAnsi"/>
          <w:noProof/>
          <w:sz w:val="24"/>
          <w:szCs w:val="24"/>
        </w:rPr>
        <w:drawing>
          <wp:inline distT="0" distB="0" distL="0" distR="0" wp14:anchorId="2430ED6D" wp14:editId="04113901">
            <wp:extent cx="6093" cy="6093"/>
            <wp:effectExtent l="0" t="0" r="0" b="0"/>
            <wp:docPr id="45605" name="Picture 45605"/>
            <wp:cNvGraphicFramePr/>
            <a:graphic xmlns:a="http://schemas.openxmlformats.org/drawingml/2006/main">
              <a:graphicData uri="http://schemas.openxmlformats.org/drawingml/2006/picture">
                <pic:pic xmlns:pic="http://schemas.openxmlformats.org/drawingml/2006/picture">
                  <pic:nvPicPr>
                    <pic:cNvPr id="45605" name="Picture 45605"/>
                    <pic:cNvPicPr/>
                  </pic:nvPicPr>
                  <pic:blipFill>
                    <a:blip r:embed="rId31"/>
                    <a:stretch>
                      <a:fillRect/>
                    </a:stretch>
                  </pic:blipFill>
                  <pic:spPr>
                    <a:xfrm>
                      <a:off x="0" y="0"/>
                      <a:ext cx="6093" cy="6093"/>
                    </a:xfrm>
                    <a:prstGeom prst="rect">
                      <a:avLst/>
                    </a:prstGeom>
                  </pic:spPr>
                </pic:pic>
              </a:graphicData>
            </a:graphic>
          </wp:inline>
        </w:drawing>
      </w:r>
      <w:r w:rsidRPr="00165893">
        <w:rPr>
          <w:rFonts w:eastAsia="Times New Roman" w:cstheme="minorHAnsi"/>
          <w:sz w:val="24"/>
          <w:szCs w:val="24"/>
        </w:rPr>
        <w:t>i reklamacje klientów, zmiany organizacyjne, jakość i rotacja kadr, zlecanie czynności na zewnątrz (outsourcing), czy awarie.</w:t>
      </w:r>
    </w:p>
    <w:p w14:paraId="4195E15B" w14:textId="77777777" w:rsidR="00B878D2" w:rsidRPr="00165893" w:rsidRDefault="00B878D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W celu ograniczania strat z tytułu ryzyka operacyjnego Bank podejmuje szereg działań zarządczych, zarówno o charakterze doraźnym, jak i systemowym. </w:t>
      </w:r>
    </w:p>
    <w:p w14:paraId="79090E0C" w14:textId="2DF32B83" w:rsidR="00EB44AA" w:rsidRPr="00165893" w:rsidRDefault="00B878D2" w:rsidP="00165893">
      <w:pPr>
        <w:spacing w:after="0" w:line="360" w:lineRule="auto"/>
        <w:jc w:val="both"/>
        <w:rPr>
          <w:rFonts w:cstheme="minorHAnsi"/>
          <w:sz w:val="24"/>
          <w:szCs w:val="24"/>
        </w:rPr>
      </w:pPr>
      <w:r w:rsidRPr="00165893">
        <w:rPr>
          <w:rFonts w:cstheme="minorHAnsi"/>
          <w:sz w:val="24"/>
          <w:szCs w:val="24"/>
        </w:rPr>
        <w:t>Działania o charakterze doraźnym obejmują bezpośrednie reagowanie na zidentyfikowane zagrożenia, niwelowanie nieprawidłowości o charakterze odwracalnym i odzyskiwanie środków utraconych w wyniku zdarzeń operacyjnych.</w:t>
      </w:r>
    </w:p>
    <w:p w14:paraId="072DFCF6" w14:textId="58F4891A" w:rsidR="00997DDC" w:rsidRPr="00165893" w:rsidRDefault="00392778" w:rsidP="00165893">
      <w:pPr>
        <w:pStyle w:val="Akapitzlist"/>
        <w:spacing w:after="0" w:line="360" w:lineRule="auto"/>
        <w:ind w:left="0"/>
        <w:jc w:val="both"/>
        <w:rPr>
          <w:rFonts w:cstheme="minorHAnsi"/>
          <w:sz w:val="24"/>
          <w:szCs w:val="24"/>
        </w:rPr>
      </w:pPr>
      <w:r w:rsidRPr="00165893">
        <w:rPr>
          <w:rFonts w:cstheme="minorHAnsi"/>
          <w:sz w:val="24"/>
          <w:szCs w:val="24"/>
        </w:rPr>
        <w:t>Działania o charakterze systemowym obejmują stosowanie zabezpieczeń systemów, wprowadzanie/udoskonalanie systemów autoryzacji transakcji płatniczych, doskonalenie procesów operacyjnych, szkolenia, doskonalenie mechanizmów kontroli wewnętrznej.</w:t>
      </w:r>
      <w:bookmarkEnd w:id="4"/>
    </w:p>
    <w:bookmarkEnd w:id="5"/>
    <w:p w14:paraId="6FB5B328" w14:textId="28A709EE" w:rsidR="00997DDC" w:rsidRPr="00927C88" w:rsidRDefault="00997DDC" w:rsidP="00825A59">
      <w:pPr>
        <w:pStyle w:val="Akapitzlist"/>
        <w:spacing w:after="0" w:line="360" w:lineRule="auto"/>
        <w:ind w:left="426"/>
        <w:rPr>
          <w:rFonts w:cstheme="minorHAnsi"/>
          <w:color w:val="FF0000"/>
          <w:sz w:val="24"/>
          <w:szCs w:val="24"/>
        </w:rPr>
      </w:pPr>
    </w:p>
    <w:p w14:paraId="2B34C7CE" w14:textId="23CD271A" w:rsidR="00997DDC" w:rsidRPr="00927C88" w:rsidRDefault="006252D9" w:rsidP="0019554B">
      <w:pPr>
        <w:pStyle w:val="Nagwek2"/>
        <w:numPr>
          <w:ilvl w:val="0"/>
          <w:numId w:val="2"/>
        </w:numPr>
        <w:spacing w:line="360" w:lineRule="auto"/>
        <w:jc w:val="left"/>
        <w:rPr>
          <w:rFonts w:asciiTheme="minorHAnsi" w:hAnsiTheme="minorHAnsi" w:cstheme="minorHAnsi"/>
        </w:rPr>
      </w:pPr>
      <w:bookmarkStart w:id="6" w:name="_Toc170905490"/>
      <w:r w:rsidRPr="00927C88">
        <w:rPr>
          <w:rFonts w:asciiTheme="minorHAnsi" w:hAnsiTheme="minorHAnsi" w:cstheme="minorHAnsi"/>
        </w:rPr>
        <w:t>Ujawnienia informacji dotyczące ryzyka płynności – zgodnie z Rekomendacją P KNF</w:t>
      </w:r>
      <w:bookmarkEnd w:id="6"/>
    </w:p>
    <w:p w14:paraId="7BB6CFE7" w14:textId="2F52CFD9" w:rsidR="007143A7" w:rsidRPr="00927C88" w:rsidRDefault="007143A7" w:rsidP="00825A59">
      <w:pPr>
        <w:pStyle w:val="Akapitzlist"/>
        <w:spacing w:after="0" w:line="360" w:lineRule="auto"/>
        <w:ind w:left="426"/>
        <w:rPr>
          <w:rFonts w:cstheme="minorHAnsi"/>
          <w:sz w:val="24"/>
          <w:szCs w:val="24"/>
        </w:rPr>
      </w:pPr>
    </w:p>
    <w:p w14:paraId="16FC8649" w14:textId="67484487" w:rsidR="007143A7" w:rsidRPr="00927C88" w:rsidRDefault="006252D9" w:rsidP="00165893">
      <w:pPr>
        <w:pStyle w:val="Akapitzlist"/>
        <w:spacing w:after="0" w:line="360" w:lineRule="auto"/>
        <w:ind w:left="0"/>
        <w:jc w:val="both"/>
        <w:rPr>
          <w:rFonts w:cstheme="minorHAnsi"/>
          <w:color w:val="000000"/>
          <w:sz w:val="24"/>
          <w:szCs w:val="24"/>
        </w:rPr>
      </w:pPr>
      <w:r w:rsidRPr="00927C88">
        <w:rPr>
          <w:rFonts w:cstheme="minorHAnsi"/>
          <w:color w:val="000000"/>
          <w:sz w:val="24"/>
          <w:szCs w:val="24"/>
        </w:rPr>
        <w:t>Zgodnie z Rekomendacją P KNF nr 18 Bank ujawnia informacje, które umożliwiają uczestnikom rynku rzetelną ocenę systemu zarządzania ryzykiem płynności Banku oraz jego pozycji płynności.</w:t>
      </w:r>
    </w:p>
    <w:p w14:paraId="1EAF165B" w14:textId="1D9EB292" w:rsidR="006252D9" w:rsidRPr="00165893" w:rsidRDefault="00E40D8D" w:rsidP="00165893">
      <w:pPr>
        <w:pStyle w:val="Akapitzlist"/>
        <w:spacing w:after="0" w:line="360" w:lineRule="auto"/>
        <w:ind w:left="0"/>
        <w:jc w:val="both"/>
        <w:rPr>
          <w:rFonts w:cstheme="minorHAnsi"/>
          <w:sz w:val="24"/>
          <w:szCs w:val="24"/>
        </w:rPr>
      </w:pPr>
      <w:r w:rsidRPr="00927C88">
        <w:rPr>
          <w:rFonts w:cstheme="minorHAnsi"/>
          <w:color w:val="000000"/>
          <w:sz w:val="24"/>
          <w:szCs w:val="24"/>
        </w:rPr>
        <w:t xml:space="preserve">Bank definiuje ryzyko płynności jako zagrożenie utraty zdolności do finansowania aktywów i terminowego wykonania zobowiązań w toku normalnej działalności Banku lub w innych warunkach, które można przewidzieć, powodujące konieczność poniesienia nieakceptowalnych strat. W ramach ryzyka płynności Bank identyfikuje ryzyko finansowania, rozumiane jako niedostatek stabilnych źródeł finansowania w perspektywie średnio i długoterminowej, skutkujące rzeczywistym lub potencjalnym ryzykiem niewywiązania się przez Bank ze zobowiązań finansowych w momencie ich wymagalności w perspektywie </w:t>
      </w:r>
      <w:r w:rsidRPr="00165893">
        <w:rPr>
          <w:rFonts w:cstheme="minorHAnsi"/>
          <w:sz w:val="24"/>
          <w:szCs w:val="24"/>
        </w:rPr>
        <w:t>średnio i długoterminowej, bądź w całości, bądź związanym z koniecznością poniesienia nieakceptowalnych kosztów finansowania.</w:t>
      </w:r>
    </w:p>
    <w:p w14:paraId="6C354FAC" w14:textId="015D3DE9" w:rsidR="005E63C6" w:rsidRPr="00165893" w:rsidRDefault="00BF21BD" w:rsidP="00165893">
      <w:pPr>
        <w:pStyle w:val="Akapitzlist"/>
        <w:spacing w:after="0" w:line="360" w:lineRule="auto"/>
        <w:ind w:left="0"/>
        <w:jc w:val="both"/>
        <w:rPr>
          <w:rFonts w:cstheme="minorHAnsi"/>
          <w:sz w:val="24"/>
          <w:szCs w:val="24"/>
        </w:rPr>
      </w:pPr>
      <w:r w:rsidRPr="00165893">
        <w:rPr>
          <w:rFonts w:eastAsia="Times New Roman" w:cstheme="minorHAnsi"/>
          <w:sz w:val="24"/>
          <w:szCs w:val="24"/>
        </w:rPr>
        <w:t xml:space="preserve">Bank Spółdzielczy w Żywcu jest członkiem Zrzeszenia BPS, które tworzy Bank Polskiej Spółdzielczości </w:t>
      </w:r>
      <w:r w:rsidRPr="00165893">
        <w:rPr>
          <w:rFonts w:cstheme="minorHAnsi"/>
          <w:noProof/>
          <w:sz w:val="24"/>
          <w:szCs w:val="24"/>
        </w:rPr>
        <w:drawing>
          <wp:inline distT="0" distB="0" distL="0" distR="0" wp14:anchorId="5BFBEF5E" wp14:editId="6B1AD857">
            <wp:extent cx="12188" cy="79207"/>
            <wp:effectExtent l="0" t="0" r="0" b="0"/>
            <wp:docPr id="231235" name="Picture 231235"/>
            <wp:cNvGraphicFramePr/>
            <a:graphic xmlns:a="http://schemas.openxmlformats.org/drawingml/2006/main">
              <a:graphicData uri="http://schemas.openxmlformats.org/drawingml/2006/picture">
                <pic:pic xmlns:pic="http://schemas.openxmlformats.org/drawingml/2006/picture">
                  <pic:nvPicPr>
                    <pic:cNvPr id="231235" name="Picture 231235"/>
                    <pic:cNvPicPr/>
                  </pic:nvPicPr>
                  <pic:blipFill>
                    <a:blip r:embed="rId32"/>
                    <a:stretch>
                      <a:fillRect/>
                    </a:stretch>
                  </pic:blipFill>
                  <pic:spPr>
                    <a:xfrm>
                      <a:off x="0" y="0"/>
                      <a:ext cx="12188" cy="79207"/>
                    </a:xfrm>
                    <a:prstGeom prst="rect">
                      <a:avLst/>
                    </a:prstGeom>
                  </pic:spPr>
                </pic:pic>
              </a:graphicData>
            </a:graphic>
          </wp:inline>
        </w:drawing>
      </w:r>
      <w:r w:rsidRPr="00165893">
        <w:rPr>
          <w:rFonts w:eastAsia="Times New Roman" w:cstheme="minorHAnsi"/>
          <w:sz w:val="24"/>
          <w:szCs w:val="24"/>
        </w:rPr>
        <w:t xml:space="preserve">S.A. (Bank Zrzeszający) i zrzeszone z nim Banki Spółdzielcze. Bank jest również Uczestnikiem Systemu </w:t>
      </w:r>
      <w:r w:rsidRPr="00165893">
        <w:rPr>
          <w:rFonts w:cstheme="minorHAnsi"/>
          <w:noProof/>
          <w:sz w:val="24"/>
          <w:szCs w:val="24"/>
        </w:rPr>
        <w:drawing>
          <wp:inline distT="0" distB="0" distL="0" distR="0" wp14:anchorId="7FEA70B8" wp14:editId="5FF3516E">
            <wp:extent cx="6094" cy="48742"/>
            <wp:effectExtent l="0" t="0" r="0" b="0"/>
            <wp:docPr id="231237" name="Picture 231237"/>
            <wp:cNvGraphicFramePr/>
            <a:graphic xmlns:a="http://schemas.openxmlformats.org/drawingml/2006/main">
              <a:graphicData uri="http://schemas.openxmlformats.org/drawingml/2006/picture">
                <pic:pic xmlns:pic="http://schemas.openxmlformats.org/drawingml/2006/picture">
                  <pic:nvPicPr>
                    <pic:cNvPr id="231237" name="Picture 231237"/>
                    <pic:cNvPicPr/>
                  </pic:nvPicPr>
                  <pic:blipFill>
                    <a:blip r:embed="rId33"/>
                    <a:stretch>
                      <a:fillRect/>
                    </a:stretch>
                  </pic:blipFill>
                  <pic:spPr>
                    <a:xfrm>
                      <a:off x="0" y="0"/>
                      <a:ext cx="6094" cy="48742"/>
                    </a:xfrm>
                    <a:prstGeom prst="rect">
                      <a:avLst/>
                    </a:prstGeom>
                  </pic:spPr>
                </pic:pic>
              </a:graphicData>
            </a:graphic>
          </wp:inline>
        </w:drawing>
      </w:r>
      <w:r w:rsidRPr="00165893">
        <w:rPr>
          <w:rFonts w:eastAsia="Times New Roman" w:cstheme="minorHAnsi"/>
          <w:sz w:val="24"/>
          <w:szCs w:val="24"/>
        </w:rPr>
        <w:t xml:space="preserve">Ochrony Zrzeszenia BPS, będącego instytucjonalnym systemem ochrony utworzonym w celu ochrony uczestników, a w szczególności w celu zagwarantowania ich płynności i wypłacalności w celu uniknięcia </w:t>
      </w:r>
      <w:r w:rsidRPr="00165893">
        <w:rPr>
          <w:rFonts w:cstheme="minorHAnsi"/>
          <w:noProof/>
          <w:sz w:val="24"/>
          <w:szCs w:val="24"/>
        </w:rPr>
        <w:drawing>
          <wp:inline distT="0" distB="0" distL="0" distR="0" wp14:anchorId="1487DC47" wp14:editId="3B1A582D">
            <wp:extent cx="6094" cy="6093"/>
            <wp:effectExtent l="0" t="0" r="0" b="0"/>
            <wp:docPr id="48897" name="Picture 48897"/>
            <wp:cNvGraphicFramePr/>
            <a:graphic xmlns:a="http://schemas.openxmlformats.org/drawingml/2006/main">
              <a:graphicData uri="http://schemas.openxmlformats.org/drawingml/2006/picture">
                <pic:pic xmlns:pic="http://schemas.openxmlformats.org/drawingml/2006/picture">
                  <pic:nvPicPr>
                    <pic:cNvPr id="48897" name="Picture 48897"/>
                    <pic:cNvPicPr/>
                  </pic:nvPicPr>
                  <pic:blipFill>
                    <a:blip r:embed="rId30"/>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upadłości, gdyby okazała się ona konieczna.</w:t>
      </w:r>
    </w:p>
    <w:p w14:paraId="7842CF8C" w14:textId="233710E4" w:rsidR="005E63C6" w:rsidRPr="00165893" w:rsidRDefault="005E63C6" w:rsidP="00165893">
      <w:pPr>
        <w:pStyle w:val="Akapitzlist"/>
        <w:spacing w:after="0" w:line="360" w:lineRule="auto"/>
        <w:ind w:left="0"/>
        <w:jc w:val="both"/>
        <w:rPr>
          <w:rFonts w:cstheme="minorHAnsi"/>
          <w:sz w:val="24"/>
          <w:szCs w:val="24"/>
        </w:rPr>
      </w:pPr>
      <w:r w:rsidRPr="00165893">
        <w:rPr>
          <w:rFonts w:cstheme="minorHAnsi"/>
          <w:sz w:val="24"/>
          <w:szCs w:val="24"/>
        </w:rPr>
        <w:t xml:space="preserve">W związku z uczestnictwem Banku w Zrzeszeniu BPS S.A. i </w:t>
      </w:r>
      <w:r w:rsidR="005B4BAB" w:rsidRPr="00165893">
        <w:rPr>
          <w:rFonts w:cstheme="minorHAnsi"/>
          <w:sz w:val="24"/>
          <w:szCs w:val="24"/>
        </w:rPr>
        <w:t xml:space="preserve">Spółdzielczym </w:t>
      </w:r>
      <w:r w:rsidRPr="00165893">
        <w:rPr>
          <w:rFonts w:cstheme="minorHAnsi"/>
          <w:sz w:val="24"/>
          <w:szCs w:val="24"/>
        </w:rPr>
        <w:t xml:space="preserve">Systemie Ochrony </w:t>
      </w:r>
      <w:r w:rsidR="005B4BAB" w:rsidRPr="00165893">
        <w:rPr>
          <w:rFonts w:cstheme="minorHAnsi"/>
          <w:sz w:val="24"/>
          <w:szCs w:val="24"/>
        </w:rPr>
        <w:t>Zrzeszenia BPS</w:t>
      </w:r>
      <w:r w:rsidRPr="00165893">
        <w:rPr>
          <w:rFonts w:cstheme="minorHAnsi"/>
          <w:sz w:val="24"/>
          <w:szCs w:val="24"/>
        </w:rPr>
        <w:t xml:space="preserve"> zarządzanie ryzykiem płynności w Banku odbywa się zgodnie z zasadami ustalonymi w Zrzeszeniu i Systemie. W ramach tych procesów:</w:t>
      </w:r>
    </w:p>
    <w:p w14:paraId="4EB80298" w14:textId="77777777" w:rsidR="00937A15" w:rsidRPr="00165893" w:rsidRDefault="00937A15" w:rsidP="00165893">
      <w:pPr>
        <w:pStyle w:val="Akapitzlist"/>
        <w:numPr>
          <w:ilvl w:val="0"/>
          <w:numId w:val="3"/>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Bank Zrzeszający realizuje m.in. następujące zadania: </w:t>
      </w:r>
    </w:p>
    <w:p w14:paraId="124850EA" w14:textId="01D99FBF"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prowadzenie rozliczeń pieniężnych Banków Spółdzielczych; </w:t>
      </w:r>
    </w:p>
    <w:p w14:paraId="7B54E989" w14:textId="768923EE"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zabezpieczanie Banków Spółdzielczych przed ryzykiem związanym z zakłóceniami w realizacji rozliczeń międzybankowych; </w:t>
      </w:r>
    </w:p>
    <w:p w14:paraId="039031E2" w14:textId="4601B870"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zabezpieczanie płynności </w:t>
      </w:r>
      <w:proofErr w:type="spellStart"/>
      <w:r w:rsidRPr="00165893">
        <w:rPr>
          <w:rFonts w:cstheme="minorHAnsi"/>
          <w:sz w:val="24"/>
          <w:szCs w:val="24"/>
        </w:rPr>
        <w:t>śróddziennej</w:t>
      </w:r>
      <w:proofErr w:type="spellEnd"/>
      <w:r w:rsidRPr="00165893">
        <w:rPr>
          <w:rFonts w:cstheme="minorHAnsi"/>
          <w:sz w:val="24"/>
          <w:szCs w:val="24"/>
        </w:rPr>
        <w:t xml:space="preserve"> dla Banków Spółdzielczych; </w:t>
      </w:r>
    </w:p>
    <w:p w14:paraId="263E2870" w14:textId="77777777"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prowadzenie rachunków bieżących Banków Spółdzielczych; </w:t>
      </w:r>
    </w:p>
    <w:p w14:paraId="39A20D9B" w14:textId="5E3C9122"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udzielanie kredytów (w tym w rachunku bieżącym) Bankom Spółdzielczym zgodnie z regulacjami wewnętrznymi Banku Zrzeszającego; </w:t>
      </w:r>
    </w:p>
    <w:p w14:paraId="18F0C0A3" w14:textId="3777C342"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gromadzenie nadwyżek środków Banków Spółdzielczych; </w:t>
      </w:r>
    </w:p>
    <w:p w14:paraId="671AF212" w14:textId="037CF3A0"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lastRenderedPageBreak/>
        <w:t xml:space="preserve">prowadzenie rachunków </w:t>
      </w:r>
      <w:r w:rsidR="00BF21BD" w:rsidRPr="00165893">
        <w:rPr>
          <w:rFonts w:cstheme="minorHAnsi"/>
          <w:sz w:val="24"/>
          <w:szCs w:val="24"/>
        </w:rPr>
        <w:t>Depozytu obowiązkowego</w:t>
      </w:r>
      <w:r w:rsidRPr="00165893">
        <w:rPr>
          <w:rFonts w:cstheme="minorHAnsi"/>
          <w:sz w:val="24"/>
          <w:szCs w:val="24"/>
        </w:rPr>
        <w:t xml:space="preserve">; </w:t>
      </w:r>
    </w:p>
    <w:p w14:paraId="0FC599F9" w14:textId="5CE5E81B"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utrzymywanie aktywów płynnych stanowiących pokrycie środków </w:t>
      </w:r>
      <w:r w:rsidR="00BF21BD" w:rsidRPr="00165893">
        <w:rPr>
          <w:rFonts w:cstheme="minorHAnsi"/>
          <w:sz w:val="24"/>
          <w:szCs w:val="24"/>
        </w:rPr>
        <w:t>Depozytu Obowiązkowego</w:t>
      </w:r>
      <w:r w:rsidRPr="00165893">
        <w:rPr>
          <w:rFonts w:cstheme="minorHAnsi"/>
          <w:sz w:val="24"/>
          <w:szCs w:val="24"/>
        </w:rPr>
        <w:t xml:space="preserve">; </w:t>
      </w:r>
    </w:p>
    <w:p w14:paraId="54499619" w14:textId="24626D7B" w:rsidR="00937A15" w:rsidRPr="00165893" w:rsidRDefault="00937A15" w:rsidP="00165893">
      <w:pPr>
        <w:pStyle w:val="Akapitzlist"/>
        <w:numPr>
          <w:ilvl w:val="0"/>
          <w:numId w:val="4"/>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pośredniczenie w zakupie przez Banki Spółdzielcze papierów wartościowych w ramach limitów ustalonych przez Spółdzielnię; </w:t>
      </w:r>
    </w:p>
    <w:p w14:paraId="20C0C65E" w14:textId="659FFAB4" w:rsidR="006939C7" w:rsidRPr="00165893" w:rsidRDefault="006939C7" w:rsidP="00165893">
      <w:pPr>
        <w:pStyle w:val="Akapitzlist"/>
        <w:numPr>
          <w:ilvl w:val="0"/>
          <w:numId w:val="3"/>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Spółdzielnia realizuje m.in. następujące zadania: </w:t>
      </w:r>
    </w:p>
    <w:p w14:paraId="0FD8B448" w14:textId="4F8E5184" w:rsidR="006939C7" w:rsidRPr="00165893" w:rsidRDefault="006939C7" w:rsidP="00165893">
      <w:pPr>
        <w:numPr>
          <w:ilvl w:val="1"/>
          <w:numId w:val="5"/>
        </w:numPr>
        <w:autoSpaceDE w:val="0"/>
        <w:autoSpaceDN w:val="0"/>
        <w:adjustRightInd w:val="0"/>
        <w:spacing w:after="0" w:line="360" w:lineRule="auto"/>
        <w:jc w:val="both"/>
        <w:rPr>
          <w:rFonts w:cstheme="minorHAnsi"/>
          <w:sz w:val="24"/>
          <w:szCs w:val="24"/>
        </w:rPr>
      </w:pPr>
      <w:r w:rsidRPr="00165893">
        <w:rPr>
          <w:rFonts w:cstheme="minorHAnsi"/>
          <w:sz w:val="24"/>
          <w:szCs w:val="24"/>
        </w:rPr>
        <w:t>udzielanie pomocy płynnościowej Uczestnikom, zgodnie z przepisami obowiązującymi w</w:t>
      </w:r>
      <w:r w:rsidR="00C621BE" w:rsidRPr="00165893">
        <w:rPr>
          <w:rFonts w:cstheme="minorHAnsi"/>
          <w:sz w:val="24"/>
          <w:szCs w:val="24"/>
        </w:rPr>
        <w:t xml:space="preserve"> </w:t>
      </w:r>
      <w:r w:rsidRPr="00165893">
        <w:rPr>
          <w:rFonts w:cstheme="minorHAnsi"/>
          <w:sz w:val="24"/>
          <w:szCs w:val="24"/>
        </w:rPr>
        <w:t>Systemie Ochrony</w:t>
      </w:r>
      <w:r w:rsidR="004F16F4" w:rsidRPr="00165893">
        <w:rPr>
          <w:rFonts w:cstheme="minorHAnsi"/>
          <w:sz w:val="24"/>
          <w:szCs w:val="24"/>
        </w:rPr>
        <w:t xml:space="preserve"> </w:t>
      </w:r>
      <w:r w:rsidR="00DA08BA" w:rsidRPr="00165893">
        <w:rPr>
          <w:rFonts w:cstheme="minorHAnsi"/>
          <w:sz w:val="24"/>
          <w:szCs w:val="24"/>
        </w:rPr>
        <w:t xml:space="preserve">Zrzeszenia </w:t>
      </w:r>
      <w:r w:rsidR="004F16F4" w:rsidRPr="00165893">
        <w:rPr>
          <w:rFonts w:cstheme="minorHAnsi"/>
          <w:sz w:val="24"/>
          <w:szCs w:val="24"/>
        </w:rPr>
        <w:t>BPS</w:t>
      </w:r>
      <w:r w:rsidRPr="00165893">
        <w:rPr>
          <w:rFonts w:cstheme="minorHAnsi"/>
          <w:sz w:val="24"/>
          <w:szCs w:val="24"/>
        </w:rPr>
        <w:t xml:space="preserve">; </w:t>
      </w:r>
    </w:p>
    <w:p w14:paraId="0788F950" w14:textId="0D00BF89" w:rsidR="006939C7" w:rsidRPr="00165893" w:rsidRDefault="006939C7" w:rsidP="00165893">
      <w:pPr>
        <w:numPr>
          <w:ilvl w:val="1"/>
          <w:numId w:val="5"/>
        </w:numPr>
        <w:autoSpaceDE w:val="0"/>
        <w:autoSpaceDN w:val="0"/>
        <w:adjustRightInd w:val="0"/>
        <w:spacing w:after="0" w:line="360" w:lineRule="auto"/>
        <w:jc w:val="both"/>
        <w:rPr>
          <w:rFonts w:cstheme="minorHAnsi"/>
          <w:sz w:val="24"/>
          <w:szCs w:val="24"/>
        </w:rPr>
      </w:pPr>
      <w:r w:rsidRPr="00165893">
        <w:rPr>
          <w:rFonts w:cstheme="minorHAnsi"/>
          <w:sz w:val="24"/>
          <w:szCs w:val="24"/>
        </w:rPr>
        <w:t>wyznaczanie minimalnego zasobu aktywów płynnych w</w:t>
      </w:r>
      <w:r w:rsidR="00C621BE" w:rsidRPr="00165893">
        <w:rPr>
          <w:rFonts w:cstheme="minorHAnsi"/>
          <w:sz w:val="24"/>
          <w:szCs w:val="24"/>
        </w:rPr>
        <w:t xml:space="preserve"> </w:t>
      </w:r>
      <w:r w:rsidR="00DA08BA" w:rsidRPr="00165893">
        <w:rPr>
          <w:rFonts w:cstheme="minorHAnsi"/>
          <w:sz w:val="24"/>
          <w:szCs w:val="24"/>
        </w:rPr>
        <w:t xml:space="preserve">Systemie Ochrony Zrzeszenia BPS </w:t>
      </w:r>
      <w:r w:rsidRPr="00165893">
        <w:rPr>
          <w:rFonts w:cstheme="minorHAnsi"/>
          <w:sz w:val="24"/>
          <w:szCs w:val="24"/>
        </w:rPr>
        <w:t xml:space="preserve">(m.in. poprzez aktualizację kwoty </w:t>
      </w:r>
      <w:r w:rsidR="00DA08BA" w:rsidRPr="00165893">
        <w:rPr>
          <w:rFonts w:cstheme="minorHAnsi"/>
          <w:sz w:val="24"/>
          <w:szCs w:val="24"/>
        </w:rPr>
        <w:t>Depozytu Obowiązkowego</w:t>
      </w:r>
      <w:r w:rsidRPr="00165893">
        <w:rPr>
          <w:rFonts w:cstheme="minorHAnsi"/>
          <w:sz w:val="24"/>
          <w:szCs w:val="24"/>
        </w:rPr>
        <w:t xml:space="preserve">); </w:t>
      </w:r>
    </w:p>
    <w:p w14:paraId="2CD12CA8" w14:textId="70C0A8BC" w:rsidR="006939C7" w:rsidRPr="00165893" w:rsidRDefault="006939C7" w:rsidP="00165893">
      <w:pPr>
        <w:numPr>
          <w:ilvl w:val="1"/>
          <w:numId w:val="5"/>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ustalanie limitów ryzyka płynności w </w:t>
      </w:r>
      <w:r w:rsidR="00C621BE" w:rsidRPr="00165893">
        <w:rPr>
          <w:rFonts w:cstheme="minorHAnsi"/>
          <w:sz w:val="24"/>
          <w:szCs w:val="24"/>
        </w:rPr>
        <w:t>Systemie Ochrony Zrzeszenia BPS</w:t>
      </w:r>
      <w:r w:rsidRPr="00165893">
        <w:rPr>
          <w:rFonts w:cstheme="minorHAnsi"/>
          <w:sz w:val="24"/>
          <w:szCs w:val="24"/>
        </w:rPr>
        <w:t xml:space="preserve">; </w:t>
      </w:r>
    </w:p>
    <w:p w14:paraId="6FAB0484" w14:textId="35C08D85" w:rsidR="006939C7" w:rsidRPr="00165893" w:rsidRDefault="006939C7" w:rsidP="00165893">
      <w:pPr>
        <w:numPr>
          <w:ilvl w:val="1"/>
          <w:numId w:val="5"/>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 monitorowanie poziomu płynności Uczestników na zasadzie indywidualnej i </w:t>
      </w:r>
      <w:r w:rsidR="00DA08BA" w:rsidRPr="00165893">
        <w:rPr>
          <w:rFonts w:cstheme="minorHAnsi"/>
          <w:sz w:val="24"/>
          <w:szCs w:val="24"/>
        </w:rPr>
        <w:t>skonsolido</w:t>
      </w:r>
      <w:r w:rsidRPr="00165893">
        <w:rPr>
          <w:rFonts w:cstheme="minorHAnsi"/>
          <w:sz w:val="24"/>
          <w:szCs w:val="24"/>
        </w:rPr>
        <w:t xml:space="preserve">wanej; </w:t>
      </w:r>
    </w:p>
    <w:p w14:paraId="0ED933D7" w14:textId="710CC055" w:rsidR="006939C7" w:rsidRPr="00165893" w:rsidRDefault="006939C7" w:rsidP="00165893">
      <w:pPr>
        <w:numPr>
          <w:ilvl w:val="1"/>
          <w:numId w:val="5"/>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prowadzenie wymiany informacji o ryzyku płynności pomiędzy Uczestnikami; </w:t>
      </w:r>
    </w:p>
    <w:p w14:paraId="3DA68A8F" w14:textId="28034F74" w:rsidR="006939C7" w:rsidRPr="00165893" w:rsidRDefault="006939C7" w:rsidP="00165893">
      <w:pPr>
        <w:numPr>
          <w:ilvl w:val="1"/>
          <w:numId w:val="5"/>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przeprowadzanie zagregowanych testów warunków skrajnych według scenariuszy określonych w Grupowym Planie Naprawy; </w:t>
      </w:r>
    </w:p>
    <w:p w14:paraId="391E666B" w14:textId="50647F00" w:rsidR="006939C7" w:rsidRPr="00165893" w:rsidRDefault="006939C7" w:rsidP="00165893">
      <w:pPr>
        <w:numPr>
          <w:ilvl w:val="1"/>
          <w:numId w:val="5"/>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opracowanie procedur wzorcowych dotyczących zarządzania ryzykiem płynności. </w:t>
      </w:r>
    </w:p>
    <w:p w14:paraId="585A6C37" w14:textId="0479721C" w:rsidR="0038123A" w:rsidRPr="00165893" w:rsidRDefault="0038123A"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Zarządzanie ryzykiem płynności w Banku zostało podzielone na dwa poziomy: </w:t>
      </w:r>
    </w:p>
    <w:p w14:paraId="591F260D" w14:textId="77777777" w:rsidR="0038123A" w:rsidRPr="00165893" w:rsidRDefault="0038123A" w:rsidP="00165893">
      <w:pPr>
        <w:numPr>
          <w:ilvl w:val="1"/>
          <w:numId w:val="6"/>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poziom pierwszy (pierwsza linia obrony przed ryzykiem) – w postaci zarządzania ryzykiem w działalności operacyjnej, w ramach którego: </w:t>
      </w:r>
    </w:p>
    <w:p w14:paraId="1FF66A4D" w14:textId="43EC83BB" w:rsidR="0038123A" w:rsidRPr="00165893" w:rsidRDefault="0038123A" w:rsidP="00165893">
      <w:pPr>
        <w:pStyle w:val="Akapitzlist"/>
        <w:numPr>
          <w:ilvl w:val="0"/>
          <w:numId w:val="7"/>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Komórka zarządzania „wolnymi środkami” odpowiada za zarządzanie płynnością krótkoterminową; </w:t>
      </w:r>
    </w:p>
    <w:p w14:paraId="4B58CA2A" w14:textId="5E39F205" w:rsidR="0038123A" w:rsidRPr="00165893" w:rsidRDefault="00E46CB2" w:rsidP="00165893">
      <w:pPr>
        <w:pStyle w:val="Akapitzlist"/>
        <w:numPr>
          <w:ilvl w:val="0"/>
          <w:numId w:val="7"/>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Komórki </w:t>
      </w:r>
      <w:r w:rsidR="0038123A" w:rsidRPr="00165893">
        <w:rPr>
          <w:rFonts w:cstheme="minorHAnsi"/>
          <w:sz w:val="24"/>
          <w:szCs w:val="24"/>
        </w:rPr>
        <w:t>Banku odpow</w:t>
      </w:r>
      <w:r w:rsidRPr="00165893">
        <w:rPr>
          <w:rFonts w:cstheme="minorHAnsi"/>
          <w:sz w:val="24"/>
          <w:szCs w:val="24"/>
        </w:rPr>
        <w:t>iedzialne</w:t>
      </w:r>
      <w:r w:rsidR="0038123A" w:rsidRPr="00165893">
        <w:rPr>
          <w:rFonts w:cstheme="minorHAnsi"/>
          <w:sz w:val="24"/>
          <w:szCs w:val="24"/>
        </w:rPr>
        <w:t xml:space="preserve"> za działalność operacyjną, w tym gromadzenie depozytów i udzielanie kredytów; </w:t>
      </w:r>
    </w:p>
    <w:p w14:paraId="32FCEB88" w14:textId="7E45507F" w:rsidR="0038123A" w:rsidRPr="00165893" w:rsidRDefault="0038123A" w:rsidP="00165893">
      <w:pPr>
        <w:pStyle w:val="Akapitzlist"/>
        <w:numPr>
          <w:ilvl w:val="1"/>
          <w:numId w:val="6"/>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poziom drugi (druga linia obrony przed ryzykiem) – obejmujący wyspecjalizowane komórki odpowiadające za zarządzanie ryzykiem, w ramach którego Komórka monitorowania ryzyka odpowiada za identyfikację, pomiar, kontrolę i sprawozdawanie. </w:t>
      </w:r>
    </w:p>
    <w:p w14:paraId="46734ED9" w14:textId="77777777" w:rsidR="00E46CB2" w:rsidRPr="00165893" w:rsidRDefault="00E46CB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Głównymi pojęciami stosowanymi w pomiarze pozycji płynnościowej Banku i w zarządzaniu ryzykiem płynności są: </w:t>
      </w:r>
    </w:p>
    <w:p w14:paraId="50A4B6C5" w14:textId="54B9610C"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lastRenderedPageBreak/>
        <w:t xml:space="preserve">baza depozytowa – zobowiązania terminowe i bieżące wobec podmiotów niefinansowych i instytucji rządowych lub samorządowych; </w:t>
      </w:r>
    </w:p>
    <w:p w14:paraId="5A047889" w14:textId="604BB46D"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depozyty – baza depozytowa oraz depozyty podmiotów finansowych, z wyłączeniem depozytów banków; </w:t>
      </w:r>
    </w:p>
    <w:p w14:paraId="7890F8DB" w14:textId="5B698A44"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płynność </w:t>
      </w:r>
      <w:proofErr w:type="spellStart"/>
      <w:r w:rsidRPr="00165893">
        <w:rPr>
          <w:rFonts w:cstheme="minorHAnsi"/>
          <w:sz w:val="24"/>
          <w:szCs w:val="24"/>
        </w:rPr>
        <w:t>śróddzienna</w:t>
      </w:r>
      <w:proofErr w:type="spellEnd"/>
      <w:r w:rsidRPr="00165893">
        <w:rPr>
          <w:rFonts w:cstheme="minorHAnsi"/>
          <w:sz w:val="24"/>
          <w:szCs w:val="24"/>
        </w:rPr>
        <w:t xml:space="preserve"> – zdolność wykonania wszystkich zobowiązań pieniężnych w trakcie bieżącego dnia; </w:t>
      </w:r>
    </w:p>
    <w:p w14:paraId="6CA7E8A2" w14:textId="30A6FA97"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płynność dzienna – zdolność wykonania wszystkich zobowiązań pieniężnych na zamknięcie dnia; </w:t>
      </w:r>
    </w:p>
    <w:p w14:paraId="00949175" w14:textId="3DA58ECC"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płynność bieżąca – zdolność wykonania wszystkich zobowiązań pieniężnych w terminie płatności przypadającym w okresie 7 kolejnych dni; </w:t>
      </w:r>
    </w:p>
    <w:p w14:paraId="5E9CD9B1" w14:textId="6EDFC2BF"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płynność krótkoterminowa – zdolność wykonania wszystkich zobowiązań pieniężnych w terminie płatności przypadającym w okresie 30 kolejnych dni; </w:t>
      </w:r>
    </w:p>
    <w:p w14:paraId="4258513D" w14:textId="59C537C0"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płynność średnioterminowa – zapewnienie wykonania wszystkich zobowiązań pieniężnych w terminie płatności przypadającym w okresie powyżej 1 miesiąca i do 12 miesięcy; </w:t>
      </w:r>
    </w:p>
    <w:p w14:paraId="513172B7" w14:textId="046D5658"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płynność długoterminowa – monitorowanie możliwości wykonania wszystkich zobowiązań pieniężnych w terminie płatności przypadającym w okresie powyżej 12 miesięcy; </w:t>
      </w:r>
    </w:p>
    <w:p w14:paraId="710AC359" w14:textId="14B61E3D"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bufor płynności – oszacowana przez Bank wysokość potrzebnych aktywów nieobciążonych, stanowiąca zabezpieczenie na wypadek zrealizowania się scenariuszy warunków skrajnych płynności w określonym, w obowiązującej w Banku strategii zarządzania ryzykiem, „horyzoncie przeżycia” wynoszącym 30 dni; </w:t>
      </w:r>
    </w:p>
    <w:p w14:paraId="44F52A9D" w14:textId="21D28CB0" w:rsidR="00E46CB2" w:rsidRPr="00165893" w:rsidRDefault="00E46CB2" w:rsidP="00165893">
      <w:pPr>
        <w:pStyle w:val="Akapitzlist"/>
        <w:numPr>
          <w:ilvl w:val="0"/>
          <w:numId w:val="8"/>
        </w:num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tolerancja ryzyka płynności – poziom ryzyka jakie zamierza ponosić Bank; Bank określa tolerancję ryzyka płynności w ramach obowiązującej w Banku strategii zarządzania ryzykiem. </w:t>
      </w:r>
    </w:p>
    <w:p w14:paraId="086EDBAE" w14:textId="04446284" w:rsidR="0081091F" w:rsidRPr="00165893" w:rsidRDefault="00E46CB2" w:rsidP="00165893">
      <w:pPr>
        <w:pStyle w:val="Akapitzlist"/>
        <w:spacing w:after="0" w:line="360" w:lineRule="auto"/>
        <w:ind w:left="0"/>
        <w:jc w:val="both"/>
        <w:rPr>
          <w:rFonts w:cstheme="minorHAnsi"/>
          <w:sz w:val="24"/>
          <w:szCs w:val="24"/>
        </w:rPr>
      </w:pPr>
      <w:r w:rsidRPr="00165893">
        <w:rPr>
          <w:rFonts w:cstheme="minorHAnsi"/>
          <w:sz w:val="24"/>
          <w:szCs w:val="24"/>
        </w:rPr>
        <w:t xml:space="preserve">W zakresie strategii finansowania swojej działalności Bank stosuje podejście oparte na wykorzystaniu stabilnej części bazy depozytowej jako podstawowego źródła finansowania. Głównym źródłem finansowania działalności Banku są depozyty podmiotów niefinansowych. Bank posiada i aktualizuje w okresach rocznych plan pozyskiwania i utrzymywania środków uznawanych za stabilne źródło finansowania. Nadwyżki zgromadzonych środków, których Bank nie wykorzysta na działalności kredytową lub nie przeznaczonych na zakup innych </w:t>
      </w:r>
      <w:r w:rsidRPr="00165893">
        <w:rPr>
          <w:rFonts w:cstheme="minorHAnsi"/>
          <w:sz w:val="24"/>
          <w:szCs w:val="24"/>
        </w:rPr>
        <w:lastRenderedPageBreak/>
        <w:t>aktywów (w tym aktywów płynnych), gromadzone są w Banku Zrzeszającym. Bank może zagospodarować nadwyżkę środków w inny sposób tylko za zgodą Banku Zrzeszającego.</w:t>
      </w:r>
    </w:p>
    <w:p w14:paraId="31223E46" w14:textId="74538F19" w:rsidR="008F4A42" w:rsidRPr="00165893" w:rsidRDefault="008F4A42" w:rsidP="00165893">
      <w:pPr>
        <w:spacing w:line="360" w:lineRule="auto"/>
        <w:ind w:right="14"/>
        <w:jc w:val="both"/>
        <w:rPr>
          <w:rFonts w:eastAsia="Times New Roman" w:cstheme="minorHAnsi"/>
          <w:sz w:val="24"/>
          <w:szCs w:val="24"/>
        </w:rPr>
      </w:pPr>
      <w:r w:rsidRPr="00165893">
        <w:rPr>
          <w:rFonts w:eastAsia="Times New Roman" w:cstheme="minorHAnsi"/>
          <w:sz w:val="24"/>
          <w:szCs w:val="24"/>
        </w:rPr>
        <w:t>W celu utrzymywania ryzyka płynności na odpowiednim poziomie oraz sprostania zapotrzebowaniu na Środki płynne w sytuacjach kryzysowych Bank utrzymuje odpowiednią wielkość nadwyżki aktywów nieobciążonych (nadwyżka płynności), które mogą być natychmiast wykorzystywane przez Bank jako źródło środków płynnych.</w:t>
      </w:r>
    </w:p>
    <w:p w14:paraId="1CF350FE" w14:textId="2390624E" w:rsidR="00656742" w:rsidRPr="00165893" w:rsidRDefault="0065674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Bank ma charakter detaliczny. W badanym okresie głównym źródłem finansowania banku była baza depozytowa, która stanowiła około </w:t>
      </w:r>
      <w:r w:rsidR="00541E40" w:rsidRPr="00165893">
        <w:rPr>
          <w:rFonts w:cstheme="minorHAnsi"/>
          <w:sz w:val="24"/>
          <w:szCs w:val="24"/>
        </w:rPr>
        <w:t>8</w:t>
      </w:r>
      <w:r w:rsidR="009D399B" w:rsidRPr="00165893">
        <w:rPr>
          <w:rFonts w:cstheme="minorHAnsi"/>
          <w:sz w:val="24"/>
          <w:szCs w:val="24"/>
        </w:rPr>
        <w:t>4</w:t>
      </w:r>
      <w:r w:rsidRPr="00165893">
        <w:rPr>
          <w:rFonts w:cstheme="minorHAnsi"/>
          <w:sz w:val="24"/>
          <w:szCs w:val="24"/>
        </w:rPr>
        <w:t xml:space="preserve">% sumy bilansowej. Na bazę depozytową składały się głównie depozyty podmiotów niefinansowych – </w:t>
      </w:r>
      <w:r w:rsidR="009D399B" w:rsidRPr="00165893">
        <w:rPr>
          <w:rFonts w:cstheme="minorHAnsi"/>
          <w:sz w:val="24"/>
          <w:szCs w:val="24"/>
        </w:rPr>
        <w:t>77</w:t>
      </w:r>
      <w:r w:rsidRPr="00165893">
        <w:rPr>
          <w:rFonts w:cstheme="minorHAnsi"/>
          <w:sz w:val="24"/>
          <w:szCs w:val="24"/>
        </w:rPr>
        <w:t>% oraz depozyty jednostek samorządowych -</w:t>
      </w:r>
      <w:r w:rsidR="009D399B" w:rsidRPr="00165893">
        <w:rPr>
          <w:rFonts w:cstheme="minorHAnsi"/>
          <w:sz w:val="24"/>
          <w:szCs w:val="24"/>
        </w:rPr>
        <w:t>23</w:t>
      </w:r>
      <w:r w:rsidRPr="00165893">
        <w:rPr>
          <w:rFonts w:cstheme="minorHAnsi"/>
          <w:sz w:val="24"/>
          <w:szCs w:val="24"/>
        </w:rPr>
        <w:t xml:space="preserve">% . Bank nie posiadał w swej bazie depozytów podmiotów finansowych. W depozytach podmiotów niefinansowych przeważały depozyty osób fizycznych, które stanowiły około </w:t>
      </w:r>
      <w:r w:rsidR="00614925" w:rsidRPr="00165893">
        <w:rPr>
          <w:rFonts w:cstheme="minorHAnsi"/>
          <w:sz w:val="24"/>
          <w:szCs w:val="24"/>
        </w:rPr>
        <w:t>4</w:t>
      </w:r>
      <w:r w:rsidR="009D399B" w:rsidRPr="00165893">
        <w:rPr>
          <w:rFonts w:cstheme="minorHAnsi"/>
          <w:sz w:val="24"/>
          <w:szCs w:val="24"/>
        </w:rPr>
        <w:t>8</w:t>
      </w:r>
      <w:r w:rsidRPr="00165893">
        <w:rPr>
          <w:rFonts w:cstheme="minorHAnsi"/>
          <w:sz w:val="24"/>
          <w:szCs w:val="24"/>
        </w:rPr>
        <w:t xml:space="preserve">% ogółu depozytów. Depozyty pozostałych podmiotów niefinansowych stanowiły około </w:t>
      </w:r>
      <w:r w:rsidR="009D399B" w:rsidRPr="00165893">
        <w:rPr>
          <w:rFonts w:cstheme="minorHAnsi"/>
          <w:sz w:val="24"/>
          <w:szCs w:val="24"/>
        </w:rPr>
        <w:t>29</w:t>
      </w:r>
      <w:r w:rsidRPr="00165893">
        <w:rPr>
          <w:rFonts w:cstheme="minorHAnsi"/>
          <w:sz w:val="24"/>
          <w:szCs w:val="24"/>
        </w:rPr>
        <w:t xml:space="preserve">%. </w:t>
      </w:r>
    </w:p>
    <w:p w14:paraId="3D76D3C0" w14:textId="433C4C21" w:rsidR="00656742" w:rsidRPr="00165893" w:rsidRDefault="0065674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Na koniec badanego miesiąca poziom depozytów i innych zobowiązań Banku wyniósł </w:t>
      </w:r>
      <w:r w:rsidR="000F4A6A" w:rsidRPr="00165893">
        <w:rPr>
          <w:rFonts w:cstheme="minorHAnsi"/>
          <w:sz w:val="24"/>
          <w:szCs w:val="24"/>
        </w:rPr>
        <w:t>2</w:t>
      </w:r>
      <w:r w:rsidR="009D399B" w:rsidRPr="00165893">
        <w:rPr>
          <w:rFonts w:cstheme="minorHAnsi"/>
          <w:sz w:val="24"/>
          <w:szCs w:val="24"/>
        </w:rPr>
        <w:t>62</w:t>
      </w:r>
      <w:r w:rsidR="000F4A6A" w:rsidRPr="00165893">
        <w:rPr>
          <w:rFonts w:cstheme="minorHAnsi"/>
          <w:sz w:val="24"/>
          <w:szCs w:val="24"/>
        </w:rPr>
        <w:t xml:space="preserve"> </w:t>
      </w:r>
      <w:r w:rsidR="009D399B" w:rsidRPr="00165893">
        <w:rPr>
          <w:rFonts w:cstheme="minorHAnsi"/>
          <w:sz w:val="24"/>
          <w:szCs w:val="24"/>
        </w:rPr>
        <w:t>363</w:t>
      </w:r>
      <w:r w:rsidRPr="00165893">
        <w:rPr>
          <w:rFonts w:cstheme="minorHAnsi"/>
          <w:sz w:val="24"/>
          <w:szCs w:val="24"/>
        </w:rPr>
        <w:t xml:space="preserve"> tys</w:t>
      </w:r>
      <w:r w:rsidR="009D399B" w:rsidRPr="00165893">
        <w:rPr>
          <w:rFonts w:cstheme="minorHAnsi"/>
          <w:sz w:val="24"/>
          <w:szCs w:val="24"/>
        </w:rPr>
        <w:t>.</w:t>
      </w:r>
      <w:r w:rsidRPr="00165893">
        <w:rPr>
          <w:rFonts w:cstheme="minorHAnsi"/>
          <w:sz w:val="24"/>
          <w:szCs w:val="24"/>
        </w:rPr>
        <w:t xml:space="preserve"> Na koniec badanego okresu depozyty a vista stanowiły około </w:t>
      </w:r>
      <w:r w:rsidR="009D399B" w:rsidRPr="00165893">
        <w:rPr>
          <w:rFonts w:cstheme="minorHAnsi"/>
          <w:sz w:val="24"/>
          <w:szCs w:val="24"/>
        </w:rPr>
        <w:t>71</w:t>
      </w:r>
      <w:r w:rsidRPr="00165893">
        <w:rPr>
          <w:rFonts w:cstheme="minorHAnsi"/>
          <w:sz w:val="24"/>
          <w:szCs w:val="24"/>
        </w:rPr>
        <w:t xml:space="preserve">%, a depozyty terminowe około </w:t>
      </w:r>
      <w:r w:rsidR="009D399B" w:rsidRPr="00165893">
        <w:rPr>
          <w:rFonts w:cstheme="minorHAnsi"/>
          <w:sz w:val="24"/>
          <w:szCs w:val="24"/>
        </w:rPr>
        <w:t>29</w:t>
      </w:r>
      <w:r w:rsidRPr="00165893">
        <w:rPr>
          <w:rFonts w:cstheme="minorHAnsi"/>
          <w:sz w:val="24"/>
          <w:szCs w:val="24"/>
        </w:rPr>
        <w:t xml:space="preserve">% ogółu depozytów </w:t>
      </w:r>
    </w:p>
    <w:p w14:paraId="56AEF584" w14:textId="18ABD102" w:rsidR="00656742" w:rsidRPr="00165893" w:rsidRDefault="00656742" w:rsidP="00165893">
      <w:pPr>
        <w:pStyle w:val="Akapitzlist"/>
        <w:spacing w:after="0" w:line="360" w:lineRule="auto"/>
        <w:ind w:left="0"/>
        <w:jc w:val="both"/>
        <w:rPr>
          <w:rFonts w:cstheme="minorHAnsi"/>
          <w:sz w:val="24"/>
          <w:szCs w:val="24"/>
        </w:rPr>
      </w:pPr>
      <w:r w:rsidRPr="00165893">
        <w:rPr>
          <w:rFonts w:cstheme="minorHAnsi"/>
          <w:sz w:val="24"/>
          <w:szCs w:val="24"/>
        </w:rPr>
        <w:t xml:space="preserve">Znaczące źródło finansowania działalności Banku stanowiły fundusze własne, które służą finansowaniu majątku trwałego, a także długoterminowych kredytów oraz inwestycji finansowych. Fundusze własne stanowiły </w:t>
      </w:r>
      <w:r w:rsidR="008E4587" w:rsidRPr="00165893">
        <w:rPr>
          <w:rFonts w:cstheme="minorHAnsi"/>
          <w:sz w:val="24"/>
          <w:szCs w:val="24"/>
        </w:rPr>
        <w:t>1</w:t>
      </w:r>
      <w:r w:rsidR="009D399B" w:rsidRPr="00165893">
        <w:rPr>
          <w:rFonts w:cstheme="minorHAnsi"/>
          <w:sz w:val="24"/>
          <w:szCs w:val="24"/>
        </w:rPr>
        <w:t>1</w:t>
      </w:r>
      <w:r w:rsidRPr="00165893">
        <w:rPr>
          <w:rFonts w:cstheme="minorHAnsi"/>
          <w:sz w:val="24"/>
          <w:szCs w:val="24"/>
        </w:rPr>
        <w:t>% sumy bilansowej.</w:t>
      </w:r>
    </w:p>
    <w:p w14:paraId="66297B41" w14:textId="7B831E09" w:rsidR="00CD6A58" w:rsidRPr="00165893" w:rsidRDefault="008B1429" w:rsidP="00165893">
      <w:pPr>
        <w:spacing w:after="0" w:line="360" w:lineRule="auto"/>
        <w:jc w:val="both"/>
        <w:rPr>
          <w:rFonts w:cstheme="minorHAnsi"/>
          <w:bCs/>
          <w:snapToGrid w:val="0"/>
          <w:sz w:val="24"/>
          <w:szCs w:val="24"/>
        </w:rPr>
      </w:pPr>
      <w:r w:rsidRPr="00165893">
        <w:rPr>
          <w:rFonts w:cstheme="minorHAnsi"/>
          <w:bCs/>
          <w:snapToGrid w:val="0"/>
          <w:sz w:val="24"/>
          <w:szCs w:val="24"/>
        </w:rPr>
        <w:t>Zaangażowanie środków oraz aktywa płynne.</w:t>
      </w:r>
    </w:p>
    <w:p w14:paraId="73605501" w14:textId="76A2D045" w:rsidR="00656742" w:rsidRPr="00165893" w:rsidRDefault="0065674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 Należności netto z tytułu kredytów, skupionych wierzytelności i zrealizowanych gwarancji wzrosły w bieżącym okresie. Na koniec analizowanego miesiąca wyniosły </w:t>
      </w:r>
      <w:r w:rsidR="009D399B" w:rsidRPr="00165893">
        <w:rPr>
          <w:rFonts w:cstheme="minorHAnsi"/>
          <w:sz w:val="24"/>
          <w:szCs w:val="24"/>
        </w:rPr>
        <w:t>100 728</w:t>
      </w:r>
      <w:r w:rsidR="006E3EFA" w:rsidRPr="00165893">
        <w:rPr>
          <w:rFonts w:cstheme="minorHAnsi"/>
          <w:sz w:val="24"/>
          <w:szCs w:val="24"/>
        </w:rPr>
        <w:t xml:space="preserve"> </w:t>
      </w:r>
      <w:r w:rsidRPr="00165893">
        <w:rPr>
          <w:rFonts w:cstheme="minorHAnsi"/>
          <w:sz w:val="24"/>
          <w:szCs w:val="24"/>
        </w:rPr>
        <w:t>tys.</w:t>
      </w:r>
      <w:r w:rsidR="00300E12">
        <w:rPr>
          <w:rFonts w:cstheme="minorHAnsi"/>
          <w:sz w:val="24"/>
          <w:szCs w:val="24"/>
        </w:rPr>
        <w:t xml:space="preserve"> </w:t>
      </w:r>
      <w:r w:rsidR="007C575F">
        <w:rPr>
          <w:rFonts w:cstheme="minorHAnsi"/>
          <w:sz w:val="24"/>
          <w:szCs w:val="24"/>
        </w:rPr>
        <w:t>zł.</w:t>
      </w:r>
      <w:r w:rsidRPr="00165893">
        <w:rPr>
          <w:rFonts w:cstheme="minorHAnsi"/>
          <w:sz w:val="24"/>
          <w:szCs w:val="24"/>
        </w:rPr>
        <w:t xml:space="preserve"> </w:t>
      </w:r>
      <w:r w:rsidR="00300E12">
        <w:rPr>
          <w:rFonts w:cstheme="minorHAnsi"/>
          <w:sz w:val="24"/>
          <w:szCs w:val="24"/>
        </w:rPr>
        <w:t xml:space="preserve"> </w:t>
      </w:r>
      <w:r w:rsidRPr="00165893">
        <w:rPr>
          <w:rFonts w:cstheme="minorHAnsi"/>
          <w:sz w:val="24"/>
          <w:szCs w:val="24"/>
        </w:rPr>
        <w:t xml:space="preserve">Zobowiązania pozabilansowe udzielone ukształtowały się na poziomie </w:t>
      </w:r>
      <w:r w:rsidR="000279FC" w:rsidRPr="00165893">
        <w:rPr>
          <w:rFonts w:cstheme="minorHAnsi"/>
          <w:sz w:val="24"/>
          <w:szCs w:val="24"/>
        </w:rPr>
        <w:t>10 593</w:t>
      </w:r>
      <w:r w:rsidRPr="00165893">
        <w:rPr>
          <w:rFonts w:cstheme="minorHAnsi"/>
          <w:sz w:val="24"/>
          <w:szCs w:val="24"/>
        </w:rPr>
        <w:t xml:space="preserve"> tys. zł. Poziom aktywów płynnych ukształtował się na poziomie </w:t>
      </w:r>
      <w:r w:rsidR="000279FC" w:rsidRPr="00165893">
        <w:rPr>
          <w:rFonts w:cstheme="minorHAnsi"/>
          <w:sz w:val="24"/>
          <w:szCs w:val="24"/>
        </w:rPr>
        <w:t>211</w:t>
      </w:r>
      <w:r w:rsidR="007C575F">
        <w:rPr>
          <w:rFonts w:cstheme="minorHAnsi"/>
          <w:sz w:val="24"/>
          <w:szCs w:val="24"/>
        </w:rPr>
        <w:t> </w:t>
      </w:r>
      <w:r w:rsidR="000279FC" w:rsidRPr="00165893">
        <w:rPr>
          <w:rFonts w:cstheme="minorHAnsi"/>
          <w:sz w:val="24"/>
          <w:szCs w:val="24"/>
        </w:rPr>
        <w:t>119</w:t>
      </w:r>
      <w:r w:rsidR="007C575F">
        <w:rPr>
          <w:rFonts w:cstheme="minorHAnsi"/>
          <w:sz w:val="24"/>
          <w:szCs w:val="24"/>
        </w:rPr>
        <w:t xml:space="preserve"> </w:t>
      </w:r>
      <w:r w:rsidRPr="00165893">
        <w:rPr>
          <w:rFonts w:cstheme="minorHAnsi"/>
          <w:sz w:val="24"/>
          <w:szCs w:val="24"/>
        </w:rPr>
        <w:t xml:space="preserve">tys. </w:t>
      </w:r>
      <w:r w:rsidR="000279FC" w:rsidRPr="00165893">
        <w:rPr>
          <w:rFonts w:cstheme="minorHAnsi"/>
          <w:sz w:val="24"/>
          <w:szCs w:val="24"/>
        </w:rPr>
        <w:t>zł</w:t>
      </w:r>
      <w:r w:rsidRPr="00165893">
        <w:rPr>
          <w:rFonts w:cstheme="minorHAnsi"/>
          <w:sz w:val="24"/>
          <w:szCs w:val="24"/>
        </w:rPr>
        <w:t xml:space="preserve"> </w:t>
      </w:r>
    </w:p>
    <w:p w14:paraId="51A9F7AE" w14:textId="55435718" w:rsidR="00656742" w:rsidRPr="00165893" w:rsidRDefault="0065674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Bank posiada w swym portfelu kredytowym </w:t>
      </w:r>
      <w:r w:rsidR="0066794B" w:rsidRPr="00165893">
        <w:rPr>
          <w:rFonts w:cstheme="minorHAnsi"/>
          <w:sz w:val="24"/>
          <w:szCs w:val="24"/>
        </w:rPr>
        <w:t>6,</w:t>
      </w:r>
      <w:r w:rsidR="000279FC" w:rsidRPr="00165893">
        <w:rPr>
          <w:rFonts w:cstheme="minorHAnsi"/>
          <w:sz w:val="24"/>
          <w:szCs w:val="24"/>
        </w:rPr>
        <w:t>27</w:t>
      </w:r>
      <w:r w:rsidRPr="00165893">
        <w:rPr>
          <w:rFonts w:cstheme="minorHAnsi"/>
          <w:sz w:val="24"/>
          <w:szCs w:val="24"/>
        </w:rPr>
        <w:t xml:space="preserve">% należności nieregularnych co stanowi kwotę </w:t>
      </w:r>
      <w:r w:rsidR="000279FC" w:rsidRPr="00165893">
        <w:rPr>
          <w:rFonts w:cstheme="minorHAnsi"/>
          <w:sz w:val="24"/>
          <w:szCs w:val="24"/>
        </w:rPr>
        <w:t>6</w:t>
      </w:r>
      <w:r w:rsidR="00300E12">
        <w:rPr>
          <w:rFonts w:cstheme="minorHAnsi"/>
          <w:sz w:val="24"/>
          <w:szCs w:val="24"/>
        </w:rPr>
        <w:t> </w:t>
      </w:r>
      <w:r w:rsidR="000279FC" w:rsidRPr="00165893">
        <w:rPr>
          <w:rFonts w:cstheme="minorHAnsi"/>
          <w:sz w:val="24"/>
          <w:szCs w:val="24"/>
        </w:rPr>
        <w:t>368</w:t>
      </w:r>
      <w:r w:rsidR="00300E12">
        <w:rPr>
          <w:rFonts w:cstheme="minorHAnsi"/>
          <w:sz w:val="24"/>
          <w:szCs w:val="24"/>
        </w:rPr>
        <w:t xml:space="preserve"> </w:t>
      </w:r>
      <w:r w:rsidRPr="00165893">
        <w:rPr>
          <w:rFonts w:cstheme="minorHAnsi"/>
          <w:sz w:val="24"/>
          <w:szCs w:val="24"/>
        </w:rPr>
        <w:t>tys.</w:t>
      </w:r>
      <w:r w:rsidR="000279FC" w:rsidRPr="00165893">
        <w:rPr>
          <w:rFonts w:cstheme="minorHAnsi"/>
          <w:sz w:val="24"/>
          <w:szCs w:val="24"/>
        </w:rPr>
        <w:t xml:space="preserve"> zł. </w:t>
      </w:r>
      <w:r w:rsidRPr="00165893">
        <w:rPr>
          <w:rFonts w:cstheme="minorHAnsi"/>
          <w:sz w:val="24"/>
          <w:szCs w:val="24"/>
        </w:rPr>
        <w:t xml:space="preserve">Taki poziom należności nieregularnych nie ma znaczącego wpływu na jakość płynności w Banku. </w:t>
      </w:r>
    </w:p>
    <w:p w14:paraId="1C64843E" w14:textId="4BB39271" w:rsidR="00CD6A58" w:rsidRPr="00165893" w:rsidRDefault="00CD6A58" w:rsidP="00165893">
      <w:pPr>
        <w:spacing w:after="0" w:line="360" w:lineRule="auto"/>
        <w:jc w:val="both"/>
        <w:rPr>
          <w:rFonts w:cstheme="minorHAnsi"/>
          <w:bCs/>
          <w:snapToGrid w:val="0"/>
          <w:sz w:val="24"/>
          <w:szCs w:val="24"/>
        </w:rPr>
      </w:pPr>
      <w:proofErr w:type="spellStart"/>
      <w:r w:rsidRPr="00165893">
        <w:rPr>
          <w:rFonts w:cstheme="minorHAnsi"/>
          <w:bCs/>
          <w:snapToGrid w:val="0"/>
          <w:sz w:val="24"/>
          <w:szCs w:val="24"/>
        </w:rPr>
        <w:t>Zrywalność</w:t>
      </w:r>
      <w:proofErr w:type="spellEnd"/>
      <w:r w:rsidRPr="00165893">
        <w:rPr>
          <w:rFonts w:cstheme="minorHAnsi"/>
          <w:bCs/>
          <w:snapToGrid w:val="0"/>
          <w:sz w:val="24"/>
          <w:szCs w:val="24"/>
        </w:rPr>
        <w:t xml:space="preserve"> depozytów, oraz duże depozyty w bazie depozytowej Banku.</w:t>
      </w:r>
    </w:p>
    <w:p w14:paraId="4EBEBD79" w14:textId="50DAC086" w:rsidR="00890802" w:rsidRPr="00165893" w:rsidRDefault="0089080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W analizowanym okresie </w:t>
      </w:r>
      <w:r w:rsidR="00526427" w:rsidRPr="00165893">
        <w:rPr>
          <w:rFonts w:cstheme="minorHAnsi"/>
          <w:sz w:val="24"/>
          <w:szCs w:val="24"/>
        </w:rPr>
        <w:t xml:space="preserve">depozyty terminowe zerwane przed terminem wyniosły </w:t>
      </w:r>
      <w:r w:rsidR="000279FC" w:rsidRPr="00165893">
        <w:rPr>
          <w:rFonts w:cstheme="minorHAnsi"/>
          <w:sz w:val="24"/>
          <w:szCs w:val="24"/>
        </w:rPr>
        <w:t>404</w:t>
      </w:r>
      <w:r w:rsidRPr="00165893">
        <w:rPr>
          <w:rFonts w:cstheme="minorHAnsi"/>
          <w:sz w:val="24"/>
          <w:szCs w:val="24"/>
        </w:rPr>
        <w:t xml:space="preserve"> tys.</w:t>
      </w:r>
      <w:r w:rsidR="00751C64">
        <w:rPr>
          <w:rFonts w:cstheme="minorHAnsi"/>
          <w:sz w:val="24"/>
          <w:szCs w:val="24"/>
        </w:rPr>
        <w:t xml:space="preserve"> </w:t>
      </w:r>
      <w:r w:rsidR="00526427" w:rsidRPr="00165893">
        <w:rPr>
          <w:rFonts w:cstheme="minorHAnsi"/>
          <w:sz w:val="24"/>
          <w:szCs w:val="24"/>
        </w:rPr>
        <w:t>zł</w:t>
      </w:r>
      <w:r w:rsidR="00751C64">
        <w:rPr>
          <w:rFonts w:cstheme="minorHAnsi"/>
          <w:sz w:val="24"/>
          <w:szCs w:val="24"/>
        </w:rPr>
        <w:t>.</w:t>
      </w:r>
      <w:r w:rsidRPr="00165893">
        <w:rPr>
          <w:rFonts w:cstheme="minorHAnsi"/>
          <w:sz w:val="24"/>
          <w:szCs w:val="24"/>
        </w:rPr>
        <w:t xml:space="preserve"> co stanowiło </w:t>
      </w:r>
      <w:r w:rsidR="00526427" w:rsidRPr="00165893">
        <w:rPr>
          <w:rFonts w:cstheme="minorHAnsi"/>
          <w:sz w:val="24"/>
          <w:szCs w:val="24"/>
        </w:rPr>
        <w:t>0,52</w:t>
      </w:r>
      <w:r w:rsidRPr="00165893">
        <w:rPr>
          <w:rFonts w:cstheme="minorHAnsi"/>
          <w:sz w:val="24"/>
          <w:szCs w:val="24"/>
        </w:rPr>
        <w:t xml:space="preserve">% depozytów terminowych. </w:t>
      </w:r>
    </w:p>
    <w:p w14:paraId="06779BCF" w14:textId="25083448" w:rsidR="00890802" w:rsidRPr="00165893" w:rsidRDefault="00890802"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lastRenderedPageBreak/>
        <w:t xml:space="preserve">Duże depozyty w Banku stanowiły na koniec bieżącego okresu poziom </w:t>
      </w:r>
      <w:r w:rsidR="00CD2AF8" w:rsidRPr="00165893">
        <w:rPr>
          <w:rFonts w:cstheme="minorHAnsi"/>
          <w:sz w:val="24"/>
          <w:szCs w:val="24"/>
        </w:rPr>
        <w:t>6</w:t>
      </w:r>
      <w:r w:rsidR="00526427" w:rsidRPr="00165893">
        <w:rPr>
          <w:rFonts w:cstheme="minorHAnsi"/>
          <w:sz w:val="24"/>
          <w:szCs w:val="24"/>
        </w:rPr>
        <w:t>9</w:t>
      </w:r>
      <w:r w:rsidR="00CD2AF8" w:rsidRPr="00165893">
        <w:rPr>
          <w:rFonts w:cstheme="minorHAnsi"/>
          <w:sz w:val="24"/>
          <w:szCs w:val="24"/>
        </w:rPr>
        <w:t> </w:t>
      </w:r>
      <w:r w:rsidR="00526427" w:rsidRPr="00165893">
        <w:rPr>
          <w:rFonts w:cstheme="minorHAnsi"/>
          <w:sz w:val="24"/>
          <w:szCs w:val="24"/>
        </w:rPr>
        <w:t>807</w:t>
      </w:r>
      <w:r w:rsidR="00CD2AF8" w:rsidRPr="00165893">
        <w:rPr>
          <w:rFonts w:cstheme="minorHAnsi"/>
          <w:sz w:val="24"/>
          <w:szCs w:val="24"/>
        </w:rPr>
        <w:t xml:space="preserve"> </w:t>
      </w:r>
      <w:r w:rsidRPr="00165893">
        <w:rPr>
          <w:rFonts w:cstheme="minorHAnsi"/>
          <w:sz w:val="24"/>
          <w:szCs w:val="24"/>
        </w:rPr>
        <w:t xml:space="preserve">tys. </w:t>
      </w:r>
      <w:r w:rsidR="00526427" w:rsidRPr="00165893">
        <w:rPr>
          <w:rFonts w:cstheme="minorHAnsi"/>
          <w:sz w:val="24"/>
          <w:szCs w:val="24"/>
        </w:rPr>
        <w:t xml:space="preserve">zł. </w:t>
      </w:r>
      <w:r w:rsidRPr="00165893">
        <w:rPr>
          <w:rFonts w:cstheme="minorHAnsi"/>
          <w:sz w:val="24"/>
          <w:szCs w:val="24"/>
        </w:rPr>
        <w:t xml:space="preserve">co stanowiło około </w:t>
      </w:r>
      <w:r w:rsidR="00B16CD5" w:rsidRPr="00165893">
        <w:rPr>
          <w:rFonts w:cstheme="minorHAnsi"/>
          <w:sz w:val="24"/>
          <w:szCs w:val="24"/>
        </w:rPr>
        <w:t>2</w:t>
      </w:r>
      <w:r w:rsidR="00CD2AF8" w:rsidRPr="00165893">
        <w:rPr>
          <w:rFonts w:cstheme="minorHAnsi"/>
          <w:sz w:val="24"/>
          <w:szCs w:val="24"/>
        </w:rPr>
        <w:t>7</w:t>
      </w:r>
      <w:r w:rsidRPr="00165893">
        <w:rPr>
          <w:rFonts w:cstheme="minorHAnsi"/>
          <w:sz w:val="24"/>
          <w:szCs w:val="24"/>
        </w:rPr>
        <w:t>% ogółu depozytów</w:t>
      </w:r>
      <w:r w:rsidR="001142CA" w:rsidRPr="00165893">
        <w:rPr>
          <w:rFonts w:cstheme="minorHAnsi"/>
          <w:sz w:val="24"/>
          <w:szCs w:val="24"/>
        </w:rPr>
        <w:t xml:space="preserve">, z czego 87% to depozyty jednostek budżetowych </w:t>
      </w:r>
      <w:r w:rsidRPr="00165893">
        <w:rPr>
          <w:rFonts w:cstheme="minorHAnsi"/>
          <w:sz w:val="24"/>
          <w:szCs w:val="24"/>
        </w:rPr>
        <w:t xml:space="preserve">. </w:t>
      </w:r>
    </w:p>
    <w:p w14:paraId="530AB53D" w14:textId="06577DF3" w:rsidR="00CD6A58" w:rsidRPr="00165893" w:rsidRDefault="00CD6A58" w:rsidP="00165893">
      <w:pPr>
        <w:spacing w:after="0" w:line="360" w:lineRule="auto"/>
        <w:jc w:val="both"/>
        <w:rPr>
          <w:rFonts w:cstheme="minorHAnsi"/>
          <w:bCs/>
          <w:snapToGrid w:val="0"/>
          <w:sz w:val="24"/>
          <w:szCs w:val="24"/>
        </w:rPr>
      </w:pPr>
      <w:r w:rsidRPr="00165893">
        <w:rPr>
          <w:rFonts w:cstheme="minorHAnsi"/>
          <w:bCs/>
          <w:snapToGrid w:val="0"/>
          <w:sz w:val="24"/>
          <w:szCs w:val="24"/>
        </w:rPr>
        <w:t>Stabilność bazy depozytowej Banku.</w:t>
      </w:r>
    </w:p>
    <w:p w14:paraId="27ADB12E" w14:textId="694C8C4E" w:rsidR="00650378" w:rsidRPr="00165893" w:rsidRDefault="00650378" w:rsidP="00165893">
      <w:pPr>
        <w:autoSpaceDE w:val="0"/>
        <w:autoSpaceDN w:val="0"/>
        <w:adjustRightInd w:val="0"/>
        <w:spacing w:after="0" w:line="360" w:lineRule="auto"/>
        <w:jc w:val="both"/>
        <w:rPr>
          <w:rFonts w:cstheme="minorHAnsi"/>
          <w:sz w:val="24"/>
          <w:szCs w:val="24"/>
        </w:rPr>
      </w:pPr>
      <w:r w:rsidRPr="00165893">
        <w:rPr>
          <w:rFonts w:cstheme="minorHAnsi"/>
          <w:sz w:val="24"/>
          <w:szCs w:val="24"/>
        </w:rPr>
        <w:t xml:space="preserve"> W analizowanym miesiącu wskaźnik osadu ogółem wyniósł około </w:t>
      </w:r>
      <w:r w:rsidR="00CD2AF8" w:rsidRPr="00165893">
        <w:rPr>
          <w:rFonts w:cstheme="minorHAnsi"/>
          <w:sz w:val="24"/>
          <w:szCs w:val="24"/>
        </w:rPr>
        <w:t>6</w:t>
      </w:r>
      <w:r w:rsidR="001142CA" w:rsidRPr="00165893">
        <w:rPr>
          <w:rFonts w:cstheme="minorHAnsi"/>
          <w:sz w:val="24"/>
          <w:szCs w:val="24"/>
        </w:rPr>
        <w:t>6</w:t>
      </w:r>
      <w:r w:rsidRPr="00165893">
        <w:rPr>
          <w:rFonts w:cstheme="minorHAnsi"/>
          <w:sz w:val="24"/>
          <w:szCs w:val="24"/>
        </w:rPr>
        <w:t xml:space="preserve">%. W porównaniu z </w:t>
      </w:r>
      <w:r w:rsidR="00D21406" w:rsidRPr="00165893">
        <w:rPr>
          <w:rFonts w:cstheme="minorHAnsi"/>
          <w:sz w:val="24"/>
          <w:szCs w:val="24"/>
        </w:rPr>
        <w:t>końcem ubiegłego roku</w:t>
      </w:r>
      <w:r w:rsidRPr="00165893">
        <w:rPr>
          <w:rFonts w:cstheme="minorHAnsi"/>
          <w:sz w:val="24"/>
          <w:szCs w:val="24"/>
        </w:rPr>
        <w:t xml:space="preserve"> wskaźnik ten </w:t>
      </w:r>
      <w:r w:rsidR="001142CA" w:rsidRPr="00165893">
        <w:rPr>
          <w:rFonts w:cstheme="minorHAnsi"/>
          <w:sz w:val="24"/>
          <w:szCs w:val="24"/>
        </w:rPr>
        <w:t xml:space="preserve">nieznacznie wzrósł. </w:t>
      </w:r>
      <w:r w:rsidR="00D21406" w:rsidRPr="00165893">
        <w:rPr>
          <w:rFonts w:cstheme="minorHAnsi"/>
          <w:sz w:val="24"/>
          <w:szCs w:val="24"/>
        </w:rPr>
        <w:t xml:space="preserve"> </w:t>
      </w:r>
      <w:r w:rsidR="001142CA" w:rsidRPr="00165893">
        <w:rPr>
          <w:rFonts w:cstheme="minorHAnsi"/>
          <w:sz w:val="24"/>
          <w:szCs w:val="24"/>
        </w:rPr>
        <w:t>D</w:t>
      </w:r>
      <w:r w:rsidR="00D21406" w:rsidRPr="00165893">
        <w:rPr>
          <w:rFonts w:cstheme="minorHAnsi"/>
          <w:sz w:val="24"/>
          <w:szCs w:val="24"/>
        </w:rPr>
        <w:t>epozyt</w:t>
      </w:r>
      <w:r w:rsidR="001142CA" w:rsidRPr="00165893">
        <w:rPr>
          <w:rFonts w:cstheme="minorHAnsi"/>
          <w:sz w:val="24"/>
          <w:szCs w:val="24"/>
        </w:rPr>
        <w:t>y</w:t>
      </w:r>
      <w:r w:rsidR="00D21406" w:rsidRPr="00165893">
        <w:rPr>
          <w:rFonts w:cstheme="minorHAnsi"/>
          <w:sz w:val="24"/>
          <w:szCs w:val="24"/>
        </w:rPr>
        <w:t xml:space="preserve"> samorządów terytorialnych obsługiwanych przez Bank, traktowan</w:t>
      </w:r>
      <w:r w:rsidR="001142CA" w:rsidRPr="00165893">
        <w:rPr>
          <w:rFonts w:cstheme="minorHAnsi"/>
          <w:sz w:val="24"/>
          <w:szCs w:val="24"/>
        </w:rPr>
        <w:t>e są</w:t>
      </w:r>
      <w:r w:rsidR="00D21406" w:rsidRPr="00165893">
        <w:rPr>
          <w:rFonts w:cstheme="minorHAnsi"/>
          <w:sz w:val="24"/>
          <w:szCs w:val="24"/>
        </w:rPr>
        <w:t xml:space="preserve"> w całości jako depozyty niestabilne.</w:t>
      </w:r>
      <w:r w:rsidRPr="00165893">
        <w:rPr>
          <w:rFonts w:cstheme="minorHAnsi"/>
          <w:sz w:val="24"/>
          <w:szCs w:val="24"/>
        </w:rPr>
        <w:t xml:space="preserve"> Poziom depozytów stabilnych ukształtował się na poziomie </w:t>
      </w:r>
      <w:r w:rsidR="00D21406" w:rsidRPr="00165893">
        <w:rPr>
          <w:rFonts w:cstheme="minorHAnsi"/>
          <w:sz w:val="24"/>
          <w:szCs w:val="24"/>
        </w:rPr>
        <w:t>1</w:t>
      </w:r>
      <w:r w:rsidR="001142CA" w:rsidRPr="00165893">
        <w:rPr>
          <w:rFonts w:cstheme="minorHAnsi"/>
          <w:sz w:val="24"/>
          <w:szCs w:val="24"/>
        </w:rPr>
        <w:t>72</w:t>
      </w:r>
      <w:r w:rsidR="00D21406" w:rsidRPr="00165893">
        <w:rPr>
          <w:rFonts w:cstheme="minorHAnsi"/>
          <w:sz w:val="24"/>
          <w:szCs w:val="24"/>
        </w:rPr>
        <w:t xml:space="preserve"> </w:t>
      </w:r>
      <w:r w:rsidR="001142CA" w:rsidRPr="00165893">
        <w:rPr>
          <w:rFonts w:cstheme="minorHAnsi"/>
          <w:sz w:val="24"/>
          <w:szCs w:val="24"/>
        </w:rPr>
        <w:t>676</w:t>
      </w:r>
      <w:r w:rsidRPr="00165893">
        <w:rPr>
          <w:rFonts w:cstheme="minorHAnsi"/>
          <w:sz w:val="24"/>
          <w:szCs w:val="24"/>
        </w:rPr>
        <w:t xml:space="preserve"> tys.</w:t>
      </w:r>
      <w:r w:rsidR="00421425" w:rsidRPr="00165893">
        <w:rPr>
          <w:rFonts w:cstheme="minorHAnsi"/>
          <w:sz w:val="24"/>
          <w:szCs w:val="24"/>
        </w:rPr>
        <w:t xml:space="preserve"> zł.</w:t>
      </w:r>
    </w:p>
    <w:p w14:paraId="31705EA0" w14:textId="7318BC9A" w:rsidR="00CD6A58" w:rsidRPr="00165893" w:rsidRDefault="00CD6A58" w:rsidP="00165893">
      <w:pPr>
        <w:spacing w:after="0" w:line="360" w:lineRule="auto"/>
        <w:jc w:val="both"/>
        <w:rPr>
          <w:rFonts w:cstheme="minorHAnsi"/>
          <w:bCs/>
          <w:snapToGrid w:val="0"/>
          <w:sz w:val="24"/>
          <w:szCs w:val="24"/>
        </w:rPr>
      </w:pPr>
      <w:r w:rsidRPr="00165893">
        <w:rPr>
          <w:rFonts w:cstheme="minorHAnsi"/>
          <w:bCs/>
          <w:snapToGrid w:val="0"/>
          <w:sz w:val="24"/>
          <w:szCs w:val="24"/>
        </w:rPr>
        <w:t>Poziom luki płynności</w:t>
      </w:r>
      <w:r w:rsidR="00751C64">
        <w:rPr>
          <w:rFonts w:cstheme="minorHAnsi"/>
          <w:bCs/>
          <w:snapToGrid w:val="0"/>
          <w:sz w:val="24"/>
          <w:szCs w:val="24"/>
        </w:rPr>
        <w:t>.</w:t>
      </w:r>
    </w:p>
    <w:p w14:paraId="07CA577D" w14:textId="5EFE8E94" w:rsidR="00257606" w:rsidRPr="00165893" w:rsidRDefault="00257606" w:rsidP="00165893">
      <w:pPr>
        <w:spacing w:line="360" w:lineRule="auto"/>
        <w:ind w:left="14" w:right="192"/>
        <w:jc w:val="both"/>
        <w:rPr>
          <w:rFonts w:cstheme="minorHAnsi"/>
          <w:sz w:val="24"/>
          <w:szCs w:val="24"/>
        </w:rPr>
      </w:pPr>
      <w:r w:rsidRPr="00165893">
        <w:rPr>
          <w:rFonts w:eastAsia="Times New Roman" w:cstheme="minorHAnsi"/>
          <w:sz w:val="24"/>
          <w:szCs w:val="24"/>
        </w:rPr>
        <w:t xml:space="preserve">Poniżej zaprezentowano kontraktowe i urealnione zestawienie wskaźników luki płynności zawierające zestawienie zapadających </w:t>
      </w:r>
      <w:r w:rsidRPr="00165893">
        <w:rPr>
          <w:rFonts w:cstheme="minorHAnsi"/>
          <w:noProof/>
          <w:sz w:val="24"/>
          <w:szCs w:val="24"/>
        </w:rPr>
        <w:drawing>
          <wp:inline distT="0" distB="0" distL="0" distR="0" wp14:anchorId="788B13A0" wp14:editId="0A7CCA54">
            <wp:extent cx="18282" cy="97485"/>
            <wp:effectExtent l="0" t="0" r="0" b="0"/>
            <wp:docPr id="842404988" name="Picture 231298"/>
            <wp:cNvGraphicFramePr/>
            <a:graphic xmlns:a="http://schemas.openxmlformats.org/drawingml/2006/main">
              <a:graphicData uri="http://schemas.openxmlformats.org/drawingml/2006/picture">
                <pic:pic xmlns:pic="http://schemas.openxmlformats.org/drawingml/2006/picture">
                  <pic:nvPicPr>
                    <pic:cNvPr id="231298" name="Picture 231298"/>
                    <pic:cNvPicPr/>
                  </pic:nvPicPr>
                  <pic:blipFill>
                    <a:blip r:embed="rId34"/>
                    <a:stretch>
                      <a:fillRect/>
                    </a:stretch>
                  </pic:blipFill>
                  <pic:spPr>
                    <a:xfrm>
                      <a:off x="0" y="0"/>
                      <a:ext cx="18282" cy="97485"/>
                    </a:xfrm>
                    <a:prstGeom prst="rect">
                      <a:avLst/>
                    </a:prstGeom>
                  </pic:spPr>
                </pic:pic>
              </a:graphicData>
            </a:graphic>
          </wp:inline>
        </w:drawing>
      </w:r>
      <w:r w:rsidRPr="00165893">
        <w:rPr>
          <w:rFonts w:eastAsia="Times New Roman" w:cstheme="minorHAnsi"/>
          <w:sz w:val="24"/>
          <w:szCs w:val="24"/>
        </w:rPr>
        <w:t xml:space="preserve">aktywów i wymagalnych zobowiązań, które dodatkowo zostały urealnione w zakresie niektórych pozycji bilansowych oraz pozabilansowych w celu odpowiedniego przedstawienia pozycji płynnościowej Banku, </w:t>
      </w:r>
      <w:r w:rsidRPr="00165893">
        <w:rPr>
          <w:rFonts w:cstheme="minorHAnsi"/>
          <w:noProof/>
          <w:sz w:val="24"/>
          <w:szCs w:val="24"/>
        </w:rPr>
        <w:drawing>
          <wp:inline distT="0" distB="0" distL="0" distR="0" wp14:anchorId="706AACE3" wp14:editId="47777F65">
            <wp:extent cx="6094" cy="6093"/>
            <wp:effectExtent l="0" t="0" r="0" b="0"/>
            <wp:docPr id="740966435" name="Picture 66136"/>
            <wp:cNvGraphicFramePr/>
            <a:graphic xmlns:a="http://schemas.openxmlformats.org/drawingml/2006/main">
              <a:graphicData uri="http://schemas.openxmlformats.org/drawingml/2006/picture">
                <pic:pic xmlns:pic="http://schemas.openxmlformats.org/drawingml/2006/picture">
                  <pic:nvPicPr>
                    <pic:cNvPr id="66136" name="Picture 66136"/>
                    <pic:cNvPicPr/>
                  </pic:nvPicPr>
                  <pic:blipFill>
                    <a:blip r:embed="rId28"/>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 xml:space="preserve">Najważniejsze urealnienia zastosowane przy sporządzaniu urealnionego zestawienia luki płynności dotyczą </w:t>
      </w:r>
      <w:r w:rsidRPr="00165893">
        <w:rPr>
          <w:rFonts w:cstheme="minorHAnsi"/>
          <w:noProof/>
          <w:sz w:val="24"/>
          <w:szCs w:val="24"/>
        </w:rPr>
        <w:drawing>
          <wp:inline distT="0" distB="0" distL="0" distR="0" wp14:anchorId="4E5F1424" wp14:editId="309489BD">
            <wp:extent cx="6094" cy="6093"/>
            <wp:effectExtent l="0" t="0" r="0" b="0"/>
            <wp:docPr id="507536532" name="Picture 66137"/>
            <wp:cNvGraphicFramePr/>
            <a:graphic xmlns:a="http://schemas.openxmlformats.org/drawingml/2006/main">
              <a:graphicData uri="http://schemas.openxmlformats.org/drawingml/2006/picture">
                <pic:pic xmlns:pic="http://schemas.openxmlformats.org/drawingml/2006/picture">
                  <pic:nvPicPr>
                    <pic:cNvPr id="66137" name="Picture 66137"/>
                    <pic:cNvPicPr/>
                  </pic:nvPicPr>
                  <pic:blipFill>
                    <a:blip r:embed="rId15"/>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osadu depozytów i ich wymagalności — w szczególności w zakresie środków pozyskanych od gospodarstw domowych, które cechują historycznie większą stabilnością niż depozyty pozostałych podmiotów niefinansowych i instytucji samorządowych.</w:t>
      </w:r>
    </w:p>
    <w:tbl>
      <w:tblPr>
        <w:tblW w:w="9360" w:type="dxa"/>
        <w:tblInd w:w="70" w:type="dxa"/>
        <w:tblLayout w:type="fixed"/>
        <w:tblCellMar>
          <w:left w:w="70" w:type="dxa"/>
          <w:right w:w="70" w:type="dxa"/>
        </w:tblCellMar>
        <w:tblLook w:val="04A0" w:firstRow="1" w:lastRow="0" w:firstColumn="1" w:lastColumn="0" w:noHBand="0" w:noVBand="1"/>
      </w:tblPr>
      <w:tblGrid>
        <w:gridCol w:w="1665"/>
        <w:gridCol w:w="770"/>
        <w:gridCol w:w="770"/>
        <w:gridCol w:w="769"/>
        <w:gridCol w:w="770"/>
        <w:gridCol w:w="769"/>
        <w:gridCol w:w="769"/>
        <w:gridCol w:w="770"/>
        <w:gridCol w:w="769"/>
        <w:gridCol w:w="769"/>
        <w:gridCol w:w="770"/>
      </w:tblGrid>
      <w:tr w:rsidR="00286246" w:rsidRPr="00286246" w14:paraId="63029CBF" w14:textId="77777777" w:rsidTr="00257606">
        <w:trPr>
          <w:trHeight w:val="1409"/>
        </w:trPr>
        <w:tc>
          <w:tcPr>
            <w:tcW w:w="1665" w:type="dxa"/>
            <w:tcBorders>
              <w:top w:val="single" w:sz="4" w:space="0" w:color="000000"/>
              <w:left w:val="single" w:sz="4" w:space="0" w:color="000000"/>
              <w:bottom w:val="single" w:sz="4" w:space="0" w:color="000000"/>
              <w:right w:val="nil"/>
            </w:tcBorders>
            <w:shd w:val="clear" w:color="auto" w:fill="FFFFFF"/>
            <w:vAlign w:val="center"/>
            <w:hideMark/>
          </w:tcPr>
          <w:p w14:paraId="58789F69" w14:textId="539E3CB5" w:rsidR="00CD6A58" w:rsidRPr="00286246" w:rsidRDefault="003A1F97" w:rsidP="00825A59">
            <w:pPr>
              <w:suppressAutoHyphens/>
              <w:snapToGrid w:val="0"/>
              <w:spacing w:line="360" w:lineRule="auto"/>
              <w:jc w:val="center"/>
              <w:rPr>
                <w:rFonts w:ascii="Poppins" w:hAnsi="Poppins" w:cs="Poppins"/>
                <w:b/>
                <w:bCs/>
                <w:sz w:val="16"/>
                <w:szCs w:val="16"/>
              </w:rPr>
            </w:pPr>
            <w:r>
              <w:rPr>
                <w:rFonts w:ascii="Poppins" w:hAnsi="Poppins" w:cs="Poppins"/>
                <w:b/>
                <w:bCs/>
                <w:sz w:val="16"/>
                <w:szCs w:val="16"/>
              </w:rPr>
              <w:t>Wskaźnik luki płynności</w:t>
            </w:r>
            <w:r w:rsidR="00257606">
              <w:rPr>
                <w:rFonts w:ascii="Poppins" w:hAnsi="Poppins" w:cs="Poppins"/>
                <w:b/>
                <w:bCs/>
                <w:sz w:val="16"/>
                <w:szCs w:val="16"/>
              </w:rPr>
              <w:t xml:space="preserve"> skumulowanej</w:t>
            </w:r>
            <w:r w:rsidR="00816C96">
              <w:rPr>
                <w:rFonts w:ascii="Poppins" w:hAnsi="Poppins" w:cs="Poppins"/>
                <w:b/>
                <w:bCs/>
                <w:sz w:val="16"/>
                <w:szCs w:val="16"/>
              </w:rPr>
              <w:t xml:space="preserve"> 2025</w:t>
            </w:r>
          </w:p>
        </w:tc>
        <w:tc>
          <w:tcPr>
            <w:tcW w:w="770" w:type="dxa"/>
            <w:tcBorders>
              <w:top w:val="single" w:sz="4" w:space="0" w:color="000000"/>
              <w:left w:val="single" w:sz="4" w:space="0" w:color="000000"/>
              <w:bottom w:val="single" w:sz="4" w:space="0" w:color="000000"/>
              <w:right w:val="nil"/>
            </w:tcBorders>
            <w:shd w:val="clear" w:color="auto" w:fill="FFFFFF"/>
            <w:vAlign w:val="center"/>
            <w:hideMark/>
          </w:tcPr>
          <w:p w14:paraId="26885384" w14:textId="77777777" w:rsidR="00CD6A58" w:rsidRPr="00286246" w:rsidRDefault="00CD6A58" w:rsidP="00825A59">
            <w:pPr>
              <w:suppressAutoHyphens/>
              <w:snapToGrid w:val="0"/>
              <w:spacing w:line="360" w:lineRule="auto"/>
              <w:jc w:val="center"/>
              <w:rPr>
                <w:rFonts w:ascii="Poppins" w:hAnsi="Poppins" w:cs="Poppins"/>
                <w:b/>
                <w:bCs/>
                <w:sz w:val="16"/>
                <w:szCs w:val="16"/>
              </w:rPr>
            </w:pPr>
            <w:r w:rsidRPr="00286246">
              <w:rPr>
                <w:rFonts w:ascii="Poppins" w:hAnsi="Poppins" w:cs="Poppins"/>
                <w:b/>
                <w:bCs/>
                <w:sz w:val="16"/>
                <w:szCs w:val="16"/>
              </w:rPr>
              <w:t>7D</w:t>
            </w:r>
          </w:p>
        </w:tc>
        <w:tc>
          <w:tcPr>
            <w:tcW w:w="770" w:type="dxa"/>
            <w:tcBorders>
              <w:top w:val="single" w:sz="4" w:space="0" w:color="000000"/>
              <w:left w:val="single" w:sz="4" w:space="0" w:color="000000"/>
              <w:bottom w:val="single" w:sz="4" w:space="0" w:color="000000"/>
              <w:right w:val="nil"/>
            </w:tcBorders>
            <w:shd w:val="clear" w:color="auto" w:fill="FFFFFF"/>
            <w:vAlign w:val="center"/>
            <w:hideMark/>
          </w:tcPr>
          <w:p w14:paraId="56F8B6A9" w14:textId="77777777" w:rsidR="00CD6A58" w:rsidRPr="00286246" w:rsidRDefault="00CD6A58" w:rsidP="00825A59">
            <w:pPr>
              <w:suppressAutoHyphens/>
              <w:snapToGrid w:val="0"/>
              <w:spacing w:line="360" w:lineRule="auto"/>
              <w:jc w:val="center"/>
              <w:rPr>
                <w:rFonts w:ascii="Poppins" w:hAnsi="Poppins" w:cs="Poppins"/>
                <w:b/>
                <w:bCs/>
                <w:sz w:val="16"/>
                <w:szCs w:val="16"/>
              </w:rPr>
            </w:pPr>
            <w:r w:rsidRPr="00286246">
              <w:rPr>
                <w:rFonts w:ascii="Poppins" w:hAnsi="Poppins" w:cs="Poppins"/>
                <w:b/>
                <w:bCs/>
                <w:sz w:val="16"/>
                <w:szCs w:val="16"/>
              </w:rPr>
              <w:t>1M</w:t>
            </w:r>
          </w:p>
        </w:tc>
        <w:tc>
          <w:tcPr>
            <w:tcW w:w="769" w:type="dxa"/>
            <w:tcBorders>
              <w:top w:val="single" w:sz="4" w:space="0" w:color="000000"/>
              <w:left w:val="single" w:sz="4" w:space="0" w:color="000000"/>
              <w:bottom w:val="single" w:sz="4" w:space="0" w:color="000000"/>
              <w:right w:val="nil"/>
            </w:tcBorders>
            <w:shd w:val="clear" w:color="auto" w:fill="FFFFFF"/>
            <w:vAlign w:val="center"/>
            <w:hideMark/>
          </w:tcPr>
          <w:p w14:paraId="1E8444B8" w14:textId="77777777" w:rsidR="00CD6A58" w:rsidRPr="00286246" w:rsidRDefault="00CD6A58" w:rsidP="00825A59">
            <w:pPr>
              <w:suppressAutoHyphens/>
              <w:snapToGrid w:val="0"/>
              <w:spacing w:line="360" w:lineRule="auto"/>
              <w:jc w:val="center"/>
              <w:rPr>
                <w:rFonts w:ascii="Poppins" w:hAnsi="Poppins" w:cs="Poppins"/>
                <w:b/>
                <w:bCs/>
                <w:sz w:val="16"/>
                <w:szCs w:val="16"/>
              </w:rPr>
            </w:pPr>
            <w:r w:rsidRPr="00286246">
              <w:rPr>
                <w:rFonts w:ascii="Poppins" w:hAnsi="Poppins" w:cs="Poppins"/>
                <w:b/>
                <w:bCs/>
                <w:sz w:val="16"/>
                <w:szCs w:val="16"/>
              </w:rPr>
              <w:t>3M</w:t>
            </w:r>
          </w:p>
        </w:tc>
        <w:tc>
          <w:tcPr>
            <w:tcW w:w="770" w:type="dxa"/>
            <w:tcBorders>
              <w:top w:val="single" w:sz="4" w:space="0" w:color="000000"/>
              <w:left w:val="single" w:sz="4" w:space="0" w:color="000000"/>
              <w:bottom w:val="single" w:sz="4" w:space="0" w:color="000000"/>
              <w:right w:val="nil"/>
            </w:tcBorders>
            <w:shd w:val="clear" w:color="auto" w:fill="FFFFFF"/>
            <w:vAlign w:val="center"/>
            <w:hideMark/>
          </w:tcPr>
          <w:p w14:paraId="534CF9B8" w14:textId="77777777" w:rsidR="00CD6A58" w:rsidRPr="00286246" w:rsidRDefault="00CD6A58" w:rsidP="00825A59">
            <w:pPr>
              <w:suppressAutoHyphens/>
              <w:snapToGrid w:val="0"/>
              <w:spacing w:line="360" w:lineRule="auto"/>
              <w:jc w:val="center"/>
              <w:rPr>
                <w:rFonts w:ascii="Poppins" w:hAnsi="Poppins" w:cs="Poppins"/>
                <w:b/>
                <w:bCs/>
                <w:sz w:val="16"/>
                <w:szCs w:val="16"/>
              </w:rPr>
            </w:pPr>
            <w:r w:rsidRPr="00286246">
              <w:rPr>
                <w:rFonts w:ascii="Poppins" w:hAnsi="Poppins" w:cs="Poppins"/>
                <w:b/>
                <w:bCs/>
                <w:sz w:val="16"/>
                <w:szCs w:val="16"/>
              </w:rPr>
              <w:t>6M</w:t>
            </w:r>
          </w:p>
        </w:tc>
        <w:tc>
          <w:tcPr>
            <w:tcW w:w="769" w:type="dxa"/>
            <w:tcBorders>
              <w:top w:val="single" w:sz="4" w:space="0" w:color="000000"/>
              <w:left w:val="single" w:sz="4" w:space="0" w:color="000000"/>
              <w:bottom w:val="single" w:sz="4" w:space="0" w:color="000000"/>
              <w:right w:val="nil"/>
            </w:tcBorders>
            <w:shd w:val="clear" w:color="auto" w:fill="FFFFFF"/>
            <w:vAlign w:val="center"/>
            <w:hideMark/>
          </w:tcPr>
          <w:p w14:paraId="4B14EE7F" w14:textId="77777777" w:rsidR="00CD6A58" w:rsidRPr="00286246" w:rsidRDefault="00CD6A58" w:rsidP="00825A59">
            <w:pPr>
              <w:suppressAutoHyphens/>
              <w:snapToGrid w:val="0"/>
              <w:spacing w:line="360" w:lineRule="auto"/>
              <w:jc w:val="center"/>
              <w:rPr>
                <w:rFonts w:ascii="Poppins" w:hAnsi="Poppins" w:cs="Poppins"/>
                <w:b/>
                <w:bCs/>
                <w:sz w:val="16"/>
                <w:szCs w:val="16"/>
              </w:rPr>
            </w:pPr>
            <w:r w:rsidRPr="00286246">
              <w:rPr>
                <w:rFonts w:ascii="Poppins" w:hAnsi="Poppins" w:cs="Poppins"/>
                <w:b/>
                <w:bCs/>
                <w:sz w:val="16"/>
                <w:szCs w:val="16"/>
              </w:rPr>
              <w:t>12M</w:t>
            </w:r>
          </w:p>
        </w:tc>
        <w:tc>
          <w:tcPr>
            <w:tcW w:w="769" w:type="dxa"/>
            <w:tcBorders>
              <w:top w:val="single" w:sz="4" w:space="0" w:color="000000"/>
              <w:left w:val="single" w:sz="4" w:space="0" w:color="000000"/>
              <w:bottom w:val="single" w:sz="4" w:space="0" w:color="000000"/>
              <w:right w:val="nil"/>
            </w:tcBorders>
            <w:shd w:val="clear" w:color="auto" w:fill="FFFFFF"/>
            <w:vAlign w:val="center"/>
            <w:hideMark/>
          </w:tcPr>
          <w:p w14:paraId="7D0E5221" w14:textId="45255A9A" w:rsidR="00CD6A58" w:rsidRPr="00286246" w:rsidRDefault="00816C96" w:rsidP="00825A59">
            <w:pPr>
              <w:suppressAutoHyphens/>
              <w:snapToGrid w:val="0"/>
              <w:spacing w:line="360" w:lineRule="auto"/>
              <w:jc w:val="center"/>
              <w:rPr>
                <w:rFonts w:ascii="Poppins" w:hAnsi="Poppins" w:cs="Poppins"/>
                <w:b/>
                <w:bCs/>
                <w:sz w:val="16"/>
                <w:szCs w:val="16"/>
              </w:rPr>
            </w:pPr>
            <w:r>
              <w:rPr>
                <w:rFonts w:ascii="Poppins" w:hAnsi="Poppins" w:cs="Poppins"/>
                <w:b/>
                <w:bCs/>
                <w:sz w:val="16"/>
                <w:szCs w:val="16"/>
              </w:rPr>
              <w:t>1-2</w:t>
            </w:r>
            <w:r w:rsidR="00CD6A58" w:rsidRPr="00286246">
              <w:rPr>
                <w:rFonts w:ascii="Poppins" w:hAnsi="Poppins" w:cs="Poppins"/>
                <w:b/>
                <w:bCs/>
                <w:sz w:val="16"/>
                <w:szCs w:val="16"/>
              </w:rPr>
              <w:t>R</w:t>
            </w:r>
          </w:p>
        </w:tc>
        <w:tc>
          <w:tcPr>
            <w:tcW w:w="770" w:type="dxa"/>
            <w:tcBorders>
              <w:top w:val="single" w:sz="4" w:space="0" w:color="000000"/>
              <w:left w:val="single" w:sz="4" w:space="0" w:color="000000"/>
              <w:bottom w:val="single" w:sz="4" w:space="0" w:color="000000"/>
              <w:right w:val="nil"/>
            </w:tcBorders>
            <w:shd w:val="clear" w:color="auto" w:fill="FFFFFF"/>
            <w:vAlign w:val="center"/>
            <w:hideMark/>
          </w:tcPr>
          <w:p w14:paraId="2971AD95" w14:textId="1D547E8E" w:rsidR="00CD6A58" w:rsidRPr="00286246" w:rsidRDefault="00816C96" w:rsidP="00825A59">
            <w:pPr>
              <w:suppressAutoHyphens/>
              <w:snapToGrid w:val="0"/>
              <w:spacing w:line="360" w:lineRule="auto"/>
              <w:jc w:val="center"/>
              <w:rPr>
                <w:rFonts w:ascii="Poppins" w:hAnsi="Poppins" w:cs="Poppins"/>
                <w:b/>
                <w:bCs/>
                <w:sz w:val="16"/>
                <w:szCs w:val="16"/>
              </w:rPr>
            </w:pPr>
            <w:r>
              <w:rPr>
                <w:rFonts w:ascii="Poppins" w:hAnsi="Poppins" w:cs="Poppins"/>
                <w:b/>
                <w:bCs/>
                <w:sz w:val="16"/>
                <w:szCs w:val="16"/>
              </w:rPr>
              <w:t>2-5</w:t>
            </w:r>
            <w:r w:rsidR="00CD6A58" w:rsidRPr="00286246">
              <w:rPr>
                <w:rFonts w:ascii="Poppins" w:hAnsi="Poppins" w:cs="Poppins"/>
                <w:b/>
                <w:bCs/>
                <w:sz w:val="16"/>
                <w:szCs w:val="16"/>
              </w:rPr>
              <w:t>R</w:t>
            </w:r>
          </w:p>
        </w:tc>
        <w:tc>
          <w:tcPr>
            <w:tcW w:w="769" w:type="dxa"/>
            <w:tcBorders>
              <w:top w:val="single" w:sz="4" w:space="0" w:color="000000"/>
              <w:left w:val="single" w:sz="4" w:space="0" w:color="000000"/>
              <w:bottom w:val="single" w:sz="4" w:space="0" w:color="000000"/>
              <w:right w:val="nil"/>
            </w:tcBorders>
            <w:shd w:val="clear" w:color="auto" w:fill="FFFFFF"/>
            <w:vAlign w:val="center"/>
            <w:hideMark/>
          </w:tcPr>
          <w:p w14:paraId="091CEEB2" w14:textId="45C5C9DD" w:rsidR="00CD6A58" w:rsidRPr="00286246" w:rsidRDefault="00816C96" w:rsidP="00825A59">
            <w:pPr>
              <w:suppressAutoHyphens/>
              <w:snapToGrid w:val="0"/>
              <w:spacing w:line="360" w:lineRule="auto"/>
              <w:jc w:val="center"/>
              <w:rPr>
                <w:rFonts w:ascii="Poppins" w:hAnsi="Poppins" w:cs="Poppins"/>
                <w:b/>
                <w:bCs/>
                <w:sz w:val="16"/>
                <w:szCs w:val="16"/>
              </w:rPr>
            </w:pPr>
            <w:r>
              <w:rPr>
                <w:rFonts w:ascii="Poppins" w:hAnsi="Poppins" w:cs="Poppins"/>
                <w:b/>
                <w:bCs/>
                <w:sz w:val="16"/>
                <w:szCs w:val="16"/>
              </w:rPr>
              <w:t>5-10</w:t>
            </w:r>
            <w:r w:rsidR="00CD6A58" w:rsidRPr="00286246">
              <w:rPr>
                <w:rFonts w:ascii="Poppins" w:hAnsi="Poppins" w:cs="Poppins"/>
                <w:b/>
                <w:bCs/>
                <w:sz w:val="16"/>
                <w:szCs w:val="16"/>
              </w:rPr>
              <w:t>R</w:t>
            </w:r>
          </w:p>
        </w:tc>
        <w:tc>
          <w:tcPr>
            <w:tcW w:w="769" w:type="dxa"/>
            <w:tcBorders>
              <w:top w:val="single" w:sz="4" w:space="0" w:color="000000"/>
              <w:left w:val="single" w:sz="4" w:space="0" w:color="000000"/>
              <w:bottom w:val="single" w:sz="4" w:space="0" w:color="000000"/>
              <w:right w:val="nil"/>
            </w:tcBorders>
            <w:shd w:val="clear" w:color="auto" w:fill="FFFFFF"/>
            <w:vAlign w:val="center"/>
            <w:hideMark/>
          </w:tcPr>
          <w:p w14:paraId="35FDD3AB" w14:textId="76A728F6" w:rsidR="00CD6A58" w:rsidRPr="00286246" w:rsidRDefault="00816C96" w:rsidP="00825A59">
            <w:pPr>
              <w:suppressAutoHyphens/>
              <w:snapToGrid w:val="0"/>
              <w:spacing w:line="360" w:lineRule="auto"/>
              <w:jc w:val="center"/>
              <w:rPr>
                <w:rFonts w:ascii="Poppins" w:hAnsi="Poppins" w:cs="Poppins"/>
                <w:b/>
                <w:bCs/>
                <w:sz w:val="16"/>
                <w:szCs w:val="16"/>
              </w:rPr>
            </w:pPr>
            <w:r>
              <w:rPr>
                <w:rFonts w:ascii="Poppins" w:hAnsi="Poppins" w:cs="Poppins"/>
                <w:b/>
                <w:bCs/>
                <w:sz w:val="16"/>
                <w:szCs w:val="16"/>
              </w:rPr>
              <w:t>10-2</w:t>
            </w:r>
            <w:r w:rsidR="00CD6A58" w:rsidRPr="00286246">
              <w:rPr>
                <w:rFonts w:ascii="Poppins" w:hAnsi="Poppins" w:cs="Poppins"/>
                <w:b/>
                <w:bCs/>
                <w:sz w:val="16"/>
                <w:szCs w:val="16"/>
              </w:rPr>
              <w:t>0R</w:t>
            </w:r>
          </w:p>
        </w:tc>
        <w:tc>
          <w:tcPr>
            <w:tcW w:w="7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AE1904" w14:textId="77777777" w:rsidR="00CD6A58" w:rsidRPr="00286246" w:rsidRDefault="00CD6A58" w:rsidP="00825A59">
            <w:pPr>
              <w:suppressAutoHyphens/>
              <w:snapToGrid w:val="0"/>
              <w:spacing w:line="360" w:lineRule="auto"/>
              <w:jc w:val="center"/>
              <w:rPr>
                <w:rFonts w:ascii="Poppins" w:hAnsi="Poppins" w:cs="Poppins"/>
                <w:b/>
                <w:bCs/>
                <w:sz w:val="16"/>
                <w:szCs w:val="16"/>
              </w:rPr>
            </w:pPr>
            <w:r w:rsidRPr="00286246">
              <w:rPr>
                <w:rFonts w:ascii="Poppins" w:hAnsi="Poppins" w:cs="Poppins"/>
                <w:b/>
                <w:bCs/>
                <w:sz w:val="16"/>
                <w:szCs w:val="16"/>
              </w:rPr>
              <w:t>pow. 20R</w:t>
            </w:r>
          </w:p>
        </w:tc>
      </w:tr>
      <w:tr w:rsidR="00286246" w:rsidRPr="00286246" w14:paraId="0E6D8080" w14:textId="77777777" w:rsidTr="00AB65E6">
        <w:trPr>
          <w:trHeight w:val="411"/>
        </w:trPr>
        <w:tc>
          <w:tcPr>
            <w:tcW w:w="1665" w:type="dxa"/>
            <w:tcBorders>
              <w:top w:val="single" w:sz="4" w:space="0" w:color="000000"/>
              <w:left w:val="single" w:sz="4" w:space="0" w:color="000000"/>
              <w:bottom w:val="single" w:sz="4" w:space="0" w:color="000000"/>
              <w:right w:val="nil"/>
            </w:tcBorders>
            <w:shd w:val="clear" w:color="auto" w:fill="FFFFFF"/>
            <w:vAlign w:val="center"/>
            <w:hideMark/>
          </w:tcPr>
          <w:p w14:paraId="7644339C" w14:textId="3DD15E66" w:rsidR="00AB65E6" w:rsidRPr="00286246" w:rsidRDefault="00816C96" w:rsidP="00825A59">
            <w:pPr>
              <w:suppressAutoHyphens/>
              <w:snapToGrid w:val="0"/>
              <w:spacing w:line="360" w:lineRule="auto"/>
              <w:jc w:val="center"/>
              <w:rPr>
                <w:rFonts w:ascii="Poppins" w:hAnsi="Poppins" w:cs="Poppins"/>
                <w:b/>
                <w:bCs/>
                <w:sz w:val="16"/>
                <w:szCs w:val="16"/>
              </w:rPr>
            </w:pPr>
            <w:r>
              <w:rPr>
                <w:rFonts w:ascii="Times New Roman" w:eastAsia="Times New Roman" w:hAnsi="Times New Roman" w:cs="Times New Roman"/>
                <w:sz w:val="20"/>
              </w:rPr>
              <w:t>Luka płynności kontraktowa</w:t>
            </w:r>
          </w:p>
        </w:tc>
        <w:tc>
          <w:tcPr>
            <w:tcW w:w="770" w:type="dxa"/>
            <w:tcBorders>
              <w:top w:val="single" w:sz="4" w:space="0" w:color="000000"/>
              <w:left w:val="single" w:sz="4" w:space="0" w:color="000000"/>
              <w:bottom w:val="single" w:sz="4" w:space="0" w:color="000000"/>
              <w:right w:val="nil"/>
            </w:tcBorders>
            <w:shd w:val="clear" w:color="auto" w:fill="FFFFFF"/>
            <w:hideMark/>
          </w:tcPr>
          <w:p w14:paraId="317CDAEA" w14:textId="054384CD" w:rsidR="00AB65E6" w:rsidRPr="00286246" w:rsidRDefault="00816C96" w:rsidP="00825A59">
            <w:pPr>
              <w:suppressAutoHyphens/>
              <w:spacing w:line="360" w:lineRule="auto"/>
              <w:jc w:val="center"/>
              <w:rPr>
                <w:rFonts w:ascii="Poppins" w:hAnsi="Poppins" w:cs="Poppins"/>
                <w:sz w:val="16"/>
                <w:szCs w:val="16"/>
              </w:rPr>
            </w:pPr>
            <w:r>
              <w:rPr>
                <w:rFonts w:ascii="Poppins" w:hAnsi="Poppins" w:cs="Poppins"/>
                <w:sz w:val="16"/>
                <w:szCs w:val="16"/>
              </w:rPr>
              <w:t>0,</w:t>
            </w:r>
            <w:r w:rsidR="003A1F97">
              <w:rPr>
                <w:rFonts w:ascii="Poppins" w:hAnsi="Poppins" w:cs="Poppins"/>
                <w:sz w:val="16"/>
                <w:szCs w:val="16"/>
              </w:rPr>
              <w:t>87</w:t>
            </w:r>
          </w:p>
        </w:tc>
        <w:tc>
          <w:tcPr>
            <w:tcW w:w="770" w:type="dxa"/>
            <w:tcBorders>
              <w:top w:val="single" w:sz="4" w:space="0" w:color="000000"/>
              <w:left w:val="single" w:sz="4" w:space="0" w:color="000000"/>
              <w:bottom w:val="single" w:sz="4" w:space="0" w:color="000000"/>
              <w:right w:val="nil"/>
            </w:tcBorders>
            <w:shd w:val="clear" w:color="auto" w:fill="FFFFFF"/>
            <w:hideMark/>
          </w:tcPr>
          <w:p w14:paraId="1DE70493" w14:textId="604E1414" w:rsidR="00AB65E6" w:rsidRPr="00286246" w:rsidRDefault="003A1F97" w:rsidP="00825A59">
            <w:pPr>
              <w:suppressAutoHyphens/>
              <w:spacing w:line="360" w:lineRule="auto"/>
              <w:jc w:val="center"/>
              <w:rPr>
                <w:rFonts w:ascii="Poppins" w:hAnsi="Poppins" w:cs="Poppins"/>
                <w:sz w:val="16"/>
                <w:szCs w:val="16"/>
              </w:rPr>
            </w:pPr>
            <w:r>
              <w:rPr>
                <w:rFonts w:ascii="Poppins" w:hAnsi="Poppins" w:cs="Poppins"/>
                <w:sz w:val="16"/>
                <w:szCs w:val="16"/>
              </w:rPr>
              <w:t>0,93</w:t>
            </w:r>
            <w:r w:rsidR="00AB65E6" w:rsidRPr="00286246">
              <w:rPr>
                <w:rFonts w:ascii="Poppins" w:hAnsi="Poppins" w:cs="Poppins"/>
                <w:sz w:val="16"/>
                <w:szCs w:val="16"/>
              </w:rPr>
              <w:t xml:space="preserve"> </w:t>
            </w:r>
          </w:p>
        </w:tc>
        <w:tc>
          <w:tcPr>
            <w:tcW w:w="769" w:type="dxa"/>
            <w:tcBorders>
              <w:top w:val="single" w:sz="4" w:space="0" w:color="000000"/>
              <w:left w:val="single" w:sz="4" w:space="0" w:color="000000"/>
              <w:bottom w:val="single" w:sz="4" w:space="0" w:color="000000"/>
              <w:right w:val="nil"/>
            </w:tcBorders>
            <w:shd w:val="clear" w:color="auto" w:fill="FFFFFF"/>
            <w:hideMark/>
          </w:tcPr>
          <w:p w14:paraId="42A72C68" w14:textId="52378E43" w:rsidR="00AB65E6" w:rsidRPr="00286246" w:rsidRDefault="003A1F97" w:rsidP="00825A59">
            <w:pPr>
              <w:suppressAutoHyphens/>
              <w:spacing w:line="360" w:lineRule="auto"/>
              <w:jc w:val="center"/>
              <w:rPr>
                <w:rFonts w:ascii="Poppins" w:hAnsi="Poppins" w:cs="Poppins"/>
                <w:sz w:val="16"/>
                <w:szCs w:val="16"/>
              </w:rPr>
            </w:pPr>
            <w:r>
              <w:rPr>
                <w:rFonts w:ascii="Poppins" w:hAnsi="Poppins" w:cs="Poppins"/>
                <w:sz w:val="16"/>
                <w:szCs w:val="16"/>
              </w:rPr>
              <w:t>0,87</w:t>
            </w:r>
            <w:r w:rsidR="00AB65E6" w:rsidRPr="00286246">
              <w:rPr>
                <w:rFonts w:ascii="Poppins" w:hAnsi="Poppins" w:cs="Poppins"/>
                <w:sz w:val="16"/>
                <w:szCs w:val="16"/>
              </w:rPr>
              <w:t xml:space="preserve"> </w:t>
            </w:r>
          </w:p>
        </w:tc>
        <w:tc>
          <w:tcPr>
            <w:tcW w:w="770" w:type="dxa"/>
            <w:tcBorders>
              <w:top w:val="single" w:sz="4" w:space="0" w:color="000000"/>
              <w:left w:val="single" w:sz="4" w:space="0" w:color="000000"/>
              <w:bottom w:val="single" w:sz="4" w:space="0" w:color="000000"/>
              <w:right w:val="nil"/>
            </w:tcBorders>
            <w:shd w:val="clear" w:color="auto" w:fill="FFFFFF"/>
            <w:hideMark/>
          </w:tcPr>
          <w:p w14:paraId="225F63AE" w14:textId="69AE8488" w:rsidR="00AB65E6" w:rsidRPr="00286246" w:rsidRDefault="003A1F97" w:rsidP="00825A59">
            <w:pPr>
              <w:suppressAutoHyphens/>
              <w:spacing w:line="360" w:lineRule="auto"/>
              <w:jc w:val="center"/>
              <w:rPr>
                <w:rFonts w:ascii="Poppins" w:hAnsi="Poppins" w:cs="Poppins"/>
                <w:sz w:val="16"/>
                <w:szCs w:val="16"/>
              </w:rPr>
            </w:pPr>
            <w:r>
              <w:rPr>
                <w:rFonts w:ascii="Poppins" w:hAnsi="Poppins" w:cs="Poppins"/>
                <w:sz w:val="16"/>
                <w:szCs w:val="16"/>
              </w:rPr>
              <w:t>0,84</w:t>
            </w:r>
          </w:p>
        </w:tc>
        <w:tc>
          <w:tcPr>
            <w:tcW w:w="769" w:type="dxa"/>
            <w:tcBorders>
              <w:top w:val="single" w:sz="4" w:space="0" w:color="000000"/>
              <w:left w:val="single" w:sz="4" w:space="0" w:color="000000"/>
              <w:bottom w:val="single" w:sz="4" w:space="0" w:color="000000"/>
              <w:right w:val="nil"/>
            </w:tcBorders>
            <w:shd w:val="clear" w:color="auto" w:fill="FFFFFF"/>
            <w:hideMark/>
          </w:tcPr>
          <w:p w14:paraId="407FD224" w14:textId="33756946" w:rsidR="00AB65E6" w:rsidRPr="00286246" w:rsidRDefault="00A921F6" w:rsidP="00825A59">
            <w:pPr>
              <w:suppressAutoHyphens/>
              <w:spacing w:line="360" w:lineRule="auto"/>
              <w:jc w:val="center"/>
              <w:rPr>
                <w:rFonts w:ascii="Poppins" w:hAnsi="Poppins" w:cs="Poppins"/>
                <w:sz w:val="16"/>
                <w:szCs w:val="16"/>
              </w:rPr>
            </w:pPr>
            <w:r>
              <w:rPr>
                <w:rFonts w:ascii="Poppins" w:hAnsi="Poppins" w:cs="Poppins"/>
                <w:sz w:val="16"/>
                <w:szCs w:val="16"/>
              </w:rPr>
              <w:t>0,8</w:t>
            </w:r>
            <w:r w:rsidR="003A1F97">
              <w:rPr>
                <w:rFonts w:ascii="Poppins" w:hAnsi="Poppins" w:cs="Poppins"/>
                <w:sz w:val="16"/>
                <w:szCs w:val="16"/>
              </w:rPr>
              <w:t>0</w:t>
            </w:r>
          </w:p>
        </w:tc>
        <w:tc>
          <w:tcPr>
            <w:tcW w:w="769" w:type="dxa"/>
            <w:tcBorders>
              <w:top w:val="single" w:sz="4" w:space="0" w:color="000000"/>
              <w:left w:val="single" w:sz="4" w:space="0" w:color="000000"/>
              <w:bottom w:val="single" w:sz="4" w:space="0" w:color="000000"/>
              <w:right w:val="nil"/>
            </w:tcBorders>
            <w:shd w:val="clear" w:color="auto" w:fill="FFFFFF"/>
            <w:hideMark/>
          </w:tcPr>
          <w:p w14:paraId="02AD974F" w14:textId="00B02413" w:rsidR="00AB65E6" w:rsidRPr="00286246" w:rsidRDefault="003A1F97" w:rsidP="00825A59">
            <w:pPr>
              <w:suppressAutoHyphens/>
              <w:spacing w:line="360" w:lineRule="auto"/>
              <w:jc w:val="center"/>
              <w:rPr>
                <w:rFonts w:ascii="Poppins" w:hAnsi="Poppins" w:cs="Poppins"/>
                <w:sz w:val="16"/>
                <w:szCs w:val="16"/>
              </w:rPr>
            </w:pPr>
            <w:r>
              <w:rPr>
                <w:rFonts w:ascii="Poppins" w:hAnsi="Poppins" w:cs="Poppins"/>
                <w:sz w:val="16"/>
                <w:szCs w:val="16"/>
              </w:rPr>
              <w:t>0,90</w:t>
            </w:r>
            <w:r w:rsidR="00AB65E6" w:rsidRPr="00286246">
              <w:rPr>
                <w:rFonts w:ascii="Poppins" w:hAnsi="Poppins" w:cs="Poppins"/>
                <w:sz w:val="16"/>
                <w:szCs w:val="16"/>
              </w:rPr>
              <w:t xml:space="preserve"> </w:t>
            </w:r>
          </w:p>
        </w:tc>
        <w:tc>
          <w:tcPr>
            <w:tcW w:w="770" w:type="dxa"/>
            <w:tcBorders>
              <w:top w:val="single" w:sz="4" w:space="0" w:color="000000"/>
              <w:left w:val="single" w:sz="4" w:space="0" w:color="000000"/>
              <w:bottom w:val="single" w:sz="4" w:space="0" w:color="000000"/>
              <w:right w:val="nil"/>
            </w:tcBorders>
            <w:shd w:val="clear" w:color="auto" w:fill="FFFFFF"/>
            <w:hideMark/>
          </w:tcPr>
          <w:p w14:paraId="58925836" w14:textId="58EBBB1A" w:rsidR="00AB65E6" w:rsidRPr="00286246" w:rsidRDefault="00AB65E6" w:rsidP="00825A59">
            <w:pPr>
              <w:suppressAutoHyphens/>
              <w:spacing w:line="360" w:lineRule="auto"/>
              <w:jc w:val="center"/>
              <w:rPr>
                <w:rFonts w:ascii="Poppins" w:hAnsi="Poppins" w:cs="Poppins"/>
                <w:sz w:val="16"/>
                <w:szCs w:val="16"/>
              </w:rPr>
            </w:pPr>
            <w:r w:rsidRPr="00286246">
              <w:rPr>
                <w:rFonts w:ascii="Poppins" w:hAnsi="Poppins" w:cs="Poppins"/>
                <w:sz w:val="16"/>
                <w:szCs w:val="16"/>
              </w:rPr>
              <w:t>1,</w:t>
            </w:r>
            <w:r w:rsidR="003A1F97">
              <w:rPr>
                <w:rFonts w:ascii="Poppins" w:hAnsi="Poppins" w:cs="Poppins"/>
                <w:sz w:val="16"/>
                <w:szCs w:val="16"/>
              </w:rPr>
              <w:t>03</w:t>
            </w:r>
          </w:p>
        </w:tc>
        <w:tc>
          <w:tcPr>
            <w:tcW w:w="769" w:type="dxa"/>
            <w:tcBorders>
              <w:top w:val="single" w:sz="4" w:space="0" w:color="000000"/>
              <w:left w:val="single" w:sz="4" w:space="0" w:color="000000"/>
              <w:bottom w:val="single" w:sz="4" w:space="0" w:color="000000"/>
              <w:right w:val="nil"/>
            </w:tcBorders>
            <w:shd w:val="clear" w:color="auto" w:fill="FFFFFF"/>
            <w:hideMark/>
          </w:tcPr>
          <w:p w14:paraId="014EF766" w14:textId="52E3A9C6" w:rsidR="00AB65E6" w:rsidRPr="00286246" w:rsidRDefault="003A1F97" w:rsidP="00825A59">
            <w:pPr>
              <w:suppressAutoHyphens/>
              <w:spacing w:line="360" w:lineRule="auto"/>
              <w:jc w:val="center"/>
              <w:rPr>
                <w:rFonts w:ascii="Poppins" w:hAnsi="Poppins" w:cs="Poppins"/>
                <w:sz w:val="16"/>
                <w:szCs w:val="16"/>
              </w:rPr>
            </w:pPr>
            <w:r>
              <w:rPr>
                <w:rFonts w:ascii="Poppins" w:hAnsi="Poppins" w:cs="Poppins"/>
                <w:sz w:val="16"/>
                <w:szCs w:val="16"/>
              </w:rPr>
              <w:t>1,12</w:t>
            </w:r>
            <w:r w:rsidR="00AB65E6" w:rsidRPr="00286246">
              <w:rPr>
                <w:rFonts w:ascii="Poppins" w:hAnsi="Poppins" w:cs="Poppins"/>
                <w:sz w:val="16"/>
                <w:szCs w:val="16"/>
              </w:rPr>
              <w:t xml:space="preserve"> </w:t>
            </w:r>
          </w:p>
        </w:tc>
        <w:tc>
          <w:tcPr>
            <w:tcW w:w="769" w:type="dxa"/>
            <w:tcBorders>
              <w:top w:val="single" w:sz="4" w:space="0" w:color="000000"/>
              <w:left w:val="single" w:sz="4" w:space="0" w:color="000000"/>
              <w:bottom w:val="single" w:sz="4" w:space="0" w:color="000000"/>
              <w:right w:val="nil"/>
            </w:tcBorders>
            <w:shd w:val="clear" w:color="auto" w:fill="FFFFFF"/>
            <w:hideMark/>
          </w:tcPr>
          <w:p w14:paraId="4D75BE20" w14:textId="58B4FCB9" w:rsidR="00AB65E6" w:rsidRPr="00286246" w:rsidRDefault="003A1F97" w:rsidP="00825A59">
            <w:pPr>
              <w:suppressAutoHyphens/>
              <w:spacing w:line="360" w:lineRule="auto"/>
              <w:jc w:val="center"/>
              <w:rPr>
                <w:rFonts w:ascii="Poppins" w:hAnsi="Poppins" w:cs="Poppins"/>
                <w:sz w:val="16"/>
                <w:szCs w:val="16"/>
              </w:rPr>
            </w:pPr>
            <w:r>
              <w:rPr>
                <w:rFonts w:ascii="Poppins" w:hAnsi="Poppins" w:cs="Poppins"/>
                <w:sz w:val="16"/>
                <w:szCs w:val="16"/>
              </w:rPr>
              <w:t>1,14</w:t>
            </w:r>
          </w:p>
        </w:tc>
        <w:tc>
          <w:tcPr>
            <w:tcW w:w="770" w:type="dxa"/>
            <w:tcBorders>
              <w:top w:val="single" w:sz="4" w:space="0" w:color="000000"/>
              <w:left w:val="single" w:sz="4" w:space="0" w:color="000000"/>
              <w:bottom w:val="single" w:sz="4" w:space="0" w:color="000000"/>
              <w:right w:val="single" w:sz="4" w:space="0" w:color="000000"/>
            </w:tcBorders>
            <w:shd w:val="clear" w:color="auto" w:fill="FFFFFF"/>
            <w:hideMark/>
          </w:tcPr>
          <w:p w14:paraId="390BA2B3" w14:textId="091D3237" w:rsidR="00AB65E6" w:rsidRPr="00286246" w:rsidRDefault="003A1F97" w:rsidP="00825A59">
            <w:pPr>
              <w:suppressAutoHyphens/>
              <w:spacing w:line="360" w:lineRule="auto"/>
              <w:jc w:val="center"/>
              <w:rPr>
                <w:rFonts w:ascii="Poppins" w:hAnsi="Poppins" w:cs="Poppins"/>
                <w:sz w:val="16"/>
                <w:szCs w:val="16"/>
              </w:rPr>
            </w:pPr>
            <w:r>
              <w:rPr>
                <w:rFonts w:ascii="Poppins" w:hAnsi="Poppins" w:cs="Poppins"/>
                <w:sz w:val="16"/>
                <w:szCs w:val="16"/>
              </w:rPr>
              <w:t>1,00</w:t>
            </w:r>
            <w:r w:rsidR="00AB65E6" w:rsidRPr="00286246">
              <w:rPr>
                <w:rFonts w:ascii="Poppins" w:hAnsi="Poppins" w:cs="Poppins"/>
                <w:sz w:val="16"/>
                <w:szCs w:val="16"/>
              </w:rPr>
              <w:t xml:space="preserve"> </w:t>
            </w:r>
          </w:p>
        </w:tc>
      </w:tr>
      <w:tr w:rsidR="00286246" w:rsidRPr="00286246" w14:paraId="41F4F4F5" w14:textId="77777777" w:rsidTr="00B16CD5">
        <w:trPr>
          <w:trHeight w:val="291"/>
        </w:trPr>
        <w:tc>
          <w:tcPr>
            <w:tcW w:w="1665" w:type="dxa"/>
            <w:tcBorders>
              <w:top w:val="nil"/>
              <w:left w:val="single" w:sz="4" w:space="0" w:color="000000"/>
              <w:bottom w:val="single" w:sz="4" w:space="0" w:color="000000"/>
              <w:right w:val="nil"/>
            </w:tcBorders>
            <w:shd w:val="clear" w:color="auto" w:fill="FFFFFF"/>
            <w:vAlign w:val="center"/>
            <w:hideMark/>
          </w:tcPr>
          <w:p w14:paraId="19E76F51" w14:textId="0F171477" w:rsidR="00AB65E6" w:rsidRPr="00257606" w:rsidRDefault="003A1F97" w:rsidP="00825A59">
            <w:pPr>
              <w:suppressAutoHyphens/>
              <w:snapToGrid w:val="0"/>
              <w:spacing w:line="360" w:lineRule="auto"/>
              <w:jc w:val="center"/>
              <w:rPr>
                <w:rFonts w:ascii="Poppins" w:hAnsi="Poppins" w:cs="Poppins"/>
                <w:sz w:val="16"/>
                <w:szCs w:val="16"/>
              </w:rPr>
            </w:pPr>
            <w:r w:rsidRPr="00257606">
              <w:rPr>
                <w:rFonts w:ascii="Poppins" w:hAnsi="Poppins" w:cs="Poppins"/>
                <w:sz w:val="16"/>
                <w:szCs w:val="16"/>
              </w:rPr>
              <w:t>Luka płynno</w:t>
            </w:r>
            <w:r w:rsidR="00257606" w:rsidRPr="00257606">
              <w:rPr>
                <w:rFonts w:ascii="Poppins" w:hAnsi="Poppins" w:cs="Poppins"/>
                <w:sz w:val="16"/>
                <w:szCs w:val="16"/>
              </w:rPr>
              <w:t>ści urealniona</w:t>
            </w:r>
          </w:p>
        </w:tc>
        <w:tc>
          <w:tcPr>
            <w:tcW w:w="770" w:type="dxa"/>
            <w:tcBorders>
              <w:top w:val="nil"/>
              <w:left w:val="single" w:sz="4" w:space="0" w:color="000000"/>
              <w:bottom w:val="single" w:sz="4" w:space="0" w:color="000000"/>
              <w:right w:val="nil"/>
            </w:tcBorders>
            <w:shd w:val="clear" w:color="auto" w:fill="FFFFFF"/>
            <w:hideMark/>
          </w:tcPr>
          <w:p w14:paraId="5EA62E78" w14:textId="57680CD3"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1,95</w:t>
            </w:r>
          </w:p>
        </w:tc>
        <w:tc>
          <w:tcPr>
            <w:tcW w:w="770" w:type="dxa"/>
            <w:tcBorders>
              <w:top w:val="nil"/>
              <w:left w:val="single" w:sz="4" w:space="0" w:color="000000"/>
              <w:bottom w:val="single" w:sz="4" w:space="0" w:color="000000"/>
              <w:right w:val="nil"/>
            </w:tcBorders>
            <w:shd w:val="clear" w:color="auto" w:fill="FFFFFF"/>
            <w:hideMark/>
          </w:tcPr>
          <w:p w14:paraId="2851ACB4" w14:textId="1D5C26CF"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2,13</w:t>
            </w:r>
          </w:p>
        </w:tc>
        <w:tc>
          <w:tcPr>
            <w:tcW w:w="769" w:type="dxa"/>
            <w:tcBorders>
              <w:top w:val="nil"/>
              <w:left w:val="single" w:sz="4" w:space="0" w:color="000000"/>
              <w:bottom w:val="single" w:sz="4" w:space="0" w:color="000000"/>
              <w:right w:val="nil"/>
            </w:tcBorders>
            <w:shd w:val="clear" w:color="auto" w:fill="FFFFFF"/>
            <w:hideMark/>
          </w:tcPr>
          <w:p w14:paraId="605B3993" w14:textId="325FD29B"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2,08</w:t>
            </w:r>
          </w:p>
        </w:tc>
        <w:tc>
          <w:tcPr>
            <w:tcW w:w="770" w:type="dxa"/>
            <w:tcBorders>
              <w:top w:val="nil"/>
              <w:left w:val="single" w:sz="4" w:space="0" w:color="000000"/>
              <w:bottom w:val="single" w:sz="4" w:space="0" w:color="000000"/>
              <w:right w:val="nil"/>
            </w:tcBorders>
            <w:shd w:val="clear" w:color="auto" w:fill="FFFFFF"/>
            <w:hideMark/>
          </w:tcPr>
          <w:p w14:paraId="26BCA17C" w14:textId="55835057"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2,08</w:t>
            </w:r>
          </w:p>
        </w:tc>
        <w:tc>
          <w:tcPr>
            <w:tcW w:w="769" w:type="dxa"/>
            <w:tcBorders>
              <w:top w:val="nil"/>
              <w:left w:val="single" w:sz="4" w:space="0" w:color="000000"/>
              <w:bottom w:val="single" w:sz="4" w:space="0" w:color="000000"/>
              <w:right w:val="nil"/>
            </w:tcBorders>
            <w:shd w:val="clear" w:color="auto" w:fill="FFFFFF"/>
            <w:hideMark/>
          </w:tcPr>
          <w:p w14:paraId="2D8BC6CC" w14:textId="19BD86D3"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2,05</w:t>
            </w:r>
          </w:p>
        </w:tc>
        <w:tc>
          <w:tcPr>
            <w:tcW w:w="769" w:type="dxa"/>
            <w:tcBorders>
              <w:top w:val="nil"/>
              <w:left w:val="single" w:sz="4" w:space="0" w:color="000000"/>
              <w:bottom w:val="single" w:sz="4" w:space="0" w:color="000000"/>
              <w:right w:val="nil"/>
            </w:tcBorders>
            <w:shd w:val="clear" w:color="auto" w:fill="FFFFFF"/>
            <w:hideMark/>
          </w:tcPr>
          <w:p w14:paraId="66565527" w14:textId="5B0267AD"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2,30</w:t>
            </w:r>
          </w:p>
        </w:tc>
        <w:tc>
          <w:tcPr>
            <w:tcW w:w="770" w:type="dxa"/>
            <w:tcBorders>
              <w:top w:val="nil"/>
              <w:left w:val="single" w:sz="4" w:space="0" w:color="000000"/>
              <w:bottom w:val="single" w:sz="4" w:space="0" w:color="000000"/>
              <w:right w:val="nil"/>
            </w:tcBorders>
            <w:shd w:val="clear" w:color="auto" w:fill="FFFFFF"/>
            <w:hideMark/>
          </w:tcPr>
          <w:p w14:paraId="190D993B" w14:textId="5233D088"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2,61</w:t>
            </w:r>
          </w:p>
        </w:tc>
        <w:tc>
          <w:tcPr>
            <w:tcW w:w="769" w:type="dxa"/>
            <w:tcBorders>
              <w:top w:val="nil"/>
              <w:left w:val="single" w:sz="4" w:space="0" w:color="000000"/>
              <w:bottom w:val="single" w:sz="4" w:space="0" w:color="000000"/>
              <w:right w:val="nil"/>
            </w:tcBorders>
            <w:shd w:val="clear" w:color="auto" w:fill="FFFFFF"/>
            <w:hideMark/>
          </w:tcPr>
          <w:p w14:paraId="39BC1AAA" w14:textId="4C4A4941"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2,82</w:t>
            </w:r>
          </w:p>
        </w:tc>
        <w:tc>
          <w:tcPr>
            <w:tcW w:w="769" w:type="dxa"/>
            <w:tcBorders>
              <w:top w:val="nil"/>
              <w:left w:val="single" w:sz="4" w:space="0" w:color="000000"/>
              <w:bottom w:val="single" w:sz="4" w:space="0" w:color="000000"/>
              <w:right w:val="nil"/>
            </w:tcBorders>
            <w:shd w:val="clear" w:color="auto" w:fill="FFFFFF"/>
            <w:hideMark/>
          </w:tcPr>
          <w:p w14:paraId="0057C860" w14:textId="12763E1F"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2,87</w:t>
            </w:r>
          </w:p>
        </w:tc>
        <w:tc>
          <w:tcPr>
            <w:tcW w:w="770" w:type="dxa"/>
            <w:tcBorders>
              <w:top w:val="nil"/>
              <w:left w:val="single" w:sz="4" w:space="0" w:color="000000"/>
              <w:bottom w:val="single" w:sz="4" w:space="0" w:color="000000"/>
              <w:right w:val="single" w:sz="4" w:space="0" w:color="000000"/>
            </w:tcBorders>
            <w:shd w:val="clear" w:color="auto" w:fill="FFFFFF"/>
            <w:hideMark/>
          </w:tcPr>
          <w:p w14:paraId="42AEAB78" w14:textId="0B77B51B" w:rsidR="00AB65E6" w:rsidRPr="00286246" w:rsidRDefault="00257606" w:rsidP="00825A59">
            <w:pPr>
              <w:suppressAutoHyphens/>
              <w:spacing w:line="360" w:lineRule="auto"/>
              <w:jc w:val="center"/>
              <w:rPr>
                <w:rFonts w:ascii="Poppins" w:hAnsi="Poppins" w:cs="Poppins"/>
                <w:sz w:val="16"/>
                <w:szCs w:val="16"/>
              </w:rPr>
            </w:pPr>
            <w:r>
              <w:rPr>
                <w:rFonts w:ascii="Poppins" w:hAnsi="Poppins" w:cs="Poppins"/>
                <w:sz w:val="16"/>
                <w:szCs w:val="16"/>
              </w:rPr>
              <w:t>2,07</w:t>
            </w:r>
          </w:p>
        </w:tc>
      </w:tr>
    </w:tbl>
    <w:p w14:paraId="5203404E" w14:textId="77777777" w:rsidR="00123F09" w:rsidRDefault="00123F09" w:rsidP="00825A59">
      <w:pPr>
        <w:autoSpaceDE w:val="0"/>
        <w:autoSpaceDN w:val="0"/>
        <w:adjustRightInd w:val="0"/>
        <w:spacing w:after="0" w:line="360" w:lineRule="auto"/>
        <w:jc w:val="both"/>
        <w:rPr>
          <w:rFonts w:ascii="Calibri" w:hAnsi="Calibri" w:cs="Calibri"/>
          <w:sz w:val="24"/>
          <w:szCs w:val="24"/>
        </w:rPr>
      </w:pPr>
    </w:p>
    <w:p w14:paraId="21B0FE22" w14:textId="047D3267" w:rsidR="00257606" w:rsidRPr="00927C88" w:rsidRDefault="00257606" w:rsidP="00825A59">
      <w:pPr>
        <w:autoSpaceDE w:val="0"/>
        <w:autoSpaceDN w:val="0"/>
        <w:adjustRightInd w:val="0"/>
        <w:spacing w:after="0" w:line="360" w:lineRule="auto"/>
        <w:jc w:val="both"/>
        <w:rPr>
          <w:rFonts w:ascii="Calibri" w:hAnsi="Calibri" w:cs="Calibri"/>
          <w:sz w:val="24"/>
          <w:szCs w:val="24"/>
        </w:rPr>
      </w:pPr>
      <w:r w:rsidRPr="00927C88">
        <w:rPr>
          <w:rFonts w:ascii="Calibri" w:hAnsi="Calibri" w:cs="Calibri"/>
          <w:sz w:val="24"/>
          <w:szCs w:val="24"/>
        </w:rPr>
        <w:t>Wskaźniki luki kształtują się na prawidłowym poziomie.</w:t>
      </w:r>
    </w:p>
    <w:p w14:paraId="521613F3" w14:textId="61C6D497" w:rsidR="00800898" w:rsidRPr="00165893" w:rsidRDefault="00832922" w:rsidP="00165893">
      <w:pPr>
        <w:pStyle w:val="Akapitzlist"/>
        <w:spacing w:after="0" w:line="360" w:lineRule="auto"/>
        <w:ind w:left="0"/>
        <w:jc w:val="both"/>
        <w:rPr>
          <w:rFonts w:ascii="Calibri" w:hAnsi="Calibri" w:cs="Calibri"/>
          <w:sz w:val="24"/>
          <w:szCs w:val="24"/>
        </w:rPr>
      </w:pPr>
      <w:r w:rsidRPr="00165893">
        <w:rPr>
          <w:rFonts w:ascii="Calibri" w:eastAsia="Times New Roman" w:hAnsi="Calibri" w:cs="Calibri"/>
          <w:sz w:val="24"/>
          <w:szCs w:val="24"/>
        </w:rPr>
        <w:t xml:space="preserve">Zgodnie z rozwiązaniami funkcjonującymi w Systemie Ochrony Zrzeszenia BPS oraz na podstawie </w:t>
      </w:r>
      <w:r w:rsidRPr="00165893">
        <w:rPr>
          <w:rFonts w:ascii="Calibri" w:hAnsi="Calibri" w:cs="Calibri"/>
          <w:noProof/>
          <w:sz w:val="24"/>
          <w:szCs w:val="24"/>
        </w:rPr>
        <w:drawing>
          <wp:inline distT="0" distB="0" distL="0" distR="0" wp14:anchorId="519150BA" wp14:editId="4ED2D459">
            <wp:extent cx="18282" cy="48743"/>
            <wp:effectExtent l="0" t="0" r="0" b="0"/>
            <wp:docPr id="231300" name="Picture 231300"/>
            <wp:cNvGraphicFramePr/>
            <a:graphic xmlns:a="http://schemas.openxmlformats.org/drawingml/2006/main">
              <a:graphicData uri="http://schemas.openxmlformats.org/drawingml/2006/picture">
                <pic:pic xmlns:pic="http://schemas.openxmlformats.org/drawingml/2006/picture">
                  <pic:nvPicPr>
                    <pic:cNvPr id="231300" name="Picture 231300"/>
                    <pic:cNvPicPr/>
                  </pic:nvPicPr>
                  <pic:blipFill>
                    <a:blip r:embed="rId35"/>
                    <a:stretch>
                      <a:fillRect/>
                    </a:stretch>
                  </pic:blipFill>
                  <pic:spPr>
                    <a:xfrm>
                      <a:off x="0" y="0"/>
                      <a:ext cx="18282" cy="48743"/>
                    </a:xfrm>
                    <a:prstGeom prst="rect">
                      <a:avLst/>
                    </a:prstGeom>
                  </pic:spPr>
                </pic:pic>
              </a:graphicData>
            </a:graphic>
          </wp:inline>
        </w:drawing>
      </w:r>
      <w:r w:rsidRPr="00165893">
        <w:rPr>
          <w:rFonts w:ascii="Calibri" w:eastAsia="Times New Roman" w:hAnsi="Calibri" w:cs="Calibri"/>
          <w:sz w:val="24"/>
          <w:szCs w:val="24"/>
        </w:rPr>
        <w:t>pozostałych ustaleń umownych Bank posiada możliwość skorzystania z dodatkowych źródeł finansowania</w:t>
      </w:r>
      <w:r w:rsidR="00BF5EAE" w:rsidRPr="00165893">
        <w:rPr>
          <w:rFonts w:ascii="Calibri" w:eastAsia="Times New Roman" w:hAnsi="Calibri" w:cs="Calibri"/>
          <w:sz w:val="24"/>
          <w:szCs w:val="24"/>
        </w:rPr>
        <w:t xml:space="preserve">: limitu debetowego w rachunku bieżącym w Banku </w:t>
      </w:r>
      <w:r w:rsidR="00BF5EAE" w:rsidRPr="00165893">
        <w:rPr>
          <w:rFonts w:ascii="Calibri" w:eastAsia="Times New Roman" w:hAnsi="Calibri" w:cs="Calibri"/>
          <w:sz w:val="24"/>
          <w:szCs w:val="24"/>
        </w:rPr>
        <w:lastRenderedPageBreak/>
        <w:t xml:space="preserve">Zrzeszającym, depozytu obowiązkowego oraz pożyczki płynnościowej z Funduszu Pomocowego. </w:t>
      </w:r>
      <w:r w:rsidRPr="00165893">
        <w:rPr>
          <w:rFonts w:ascii="Calibri" w:hAnsi="Calibri" w:cs="Calibri"/>
          <w:noProof/>
          <w:sz w:val="24"/>
          <w:szCs w:val="24"/>
        </w:rPr>
        <w:drawing>
          <wp:inline distT="0" distB="0" distL="0" distR="0" wp14:anchorId="09293FF0" wp14:editId="0E86995B">
            <wp:extent cx="18282" cy="24371"/>
            <wp:effectExtent l="0" t="0" r="0" b="0"/>
            <wp:docPr id="231302" name="Picture 231302"/>
            <wp:cNvGraphicFramePr/>
            <a:graphic xmlns:a="http://schemas.openxmlformats.org/drawingml/2006/main">
              <a:graphicData uri="http://schemas.openxmlformats.org/drawingml/2006/picture">
                <pic:pic xmlns:pic="http://schemas.openxmlformats.org/drawingml/2006/picture">
                  <pic:nvPicPr>
                    <pic:cNvPr id="231302" name="Picture 231302"/>
                    <pic:cNvPicPr/>
                  </pic:nvPicPr>
                  <pic:blipFill>
                    <a:blip r:embed="rId36"/>
                    <a:stretch>
                      <a:fillRect/>
                    </a:stretch>
                  </pic:blipFill>
                  <pic:spPr>
                    <a:xfrm>
                      <a:off x="0" y="0"/>
                      <a:ext cx="18282" cy="24371"/>
                    </a:xfrm>
                    <a:prstGeom prst="rect">
                      <a:avLst/>
                    </a:prstGeom>
                  </pic:spPr>
                </pic:pic>
              </a:graphicData>
            </a:graphic>
          </wp:inline>
        </w:drawing>
      </w:r>
    </w:p>
    <w:p w14:paraId="23B8046F" w14:textId="77777777" w:rsidR="00BF5EAE" w:rsidRPr="00165893" w:rsidRDefault="00BF5EAE" w:rsidP="00165893">
      <w:pPr>
        <w:spacing w:after="114" w:line="360" w:lineRule="auto"/>
        <w:ind w:left="14" w:right="14"/>
        <w:jc w:val="both"/>
        <w:rPr>
          <w:rFonts w:ascii="Calibri" w:hAnsi="Calibri" w:cs="Calibri"/>
          <w:sz w:val="24"/>
          <w:szCs w:val="24"/>
        </w:rPr>
      </w:pPr>
      <w:r w:rsidRPr="00165893">
        <w:rPr>
          <w:rFonts w:ascii="Calibri" w:eastAsia="Times New Roman" w:hAnsi="Calibri" w:cs="Calibri"/>
          <w:sz w:val="24"/>
          <w:szCs w:val="24"/>
        </w:rPr>
        <w:t>Przyczyny, które mogą spowodować narażenie Banku na ryzyko płynności to:</w:t>
      </w:r>
      <w:r w:rsidRPr="00165893">
        <w:rPr>
          <w:rFonts w:ascii="Calibri" w:hAnsi="Calibri" w:cs="Calibri"/>
          <w:noProof/>
          <w:sz w:val="24"/>
          <w:szCs w:val="24"/>
        </w:rPr>
        <w:drawing>
          <wp:inline distT="0" distB="0" distL="0" distR="0" wp14:anchorId="32F7629A" wp14:editId="578E7739">
            <wp:extent cx="6094" cy="6093"/>
            <wp:effectExtent l="0" t="0" r="0" b="0"/>
            <wp:docPr id="66144" name="Picture 66144"/>
            <wp:cNvGraphicFramePr/>
            <a:graphic xmlns:a="http://schemas.openxmlformats.org/drawingml/2006/main">
              <a:graphicData uri="http://schemas.openxmlformats.org/drawingml/2006/picture">
                <pic:pic xmlns:pic="http://schemas.openxmlformats.org/drawingml/2006/picture">
                  <pic:nvPicPr>
                    <pic:cNvPr id="66144" name="Picture 66144"/>
                    <pic:cNvPicPr/>
                  </pic:nvPicPr>
                  <pic:blipFill>
                    <a:blip r:embed="rId28"/>
                    <a:stretch>
                      <a:fillRect/>
                    </a:stretch>
                  </pic:blipFill>
                  <pic:spPr>
                    <a:xfrm>
                      <a:off x="0" y="0"/>
                      <a:ext cx="6094" cy="6093"/>
                    </a:xfrm>
                    <a:prstGeom prst="rect">
                      <a:avLst/>
                    </a:prstGeom>
                  </pic:spPr>
                </pic:pic>
              </a:graphicData>
            </a:graphic>
          </wp:inline>
        </w:drawing>
      </w:r>
    </w:p>
    <w:p w14:paraId="2F92B718" w14:textId="06C1F501" w:rsidR="004716B0" w:rsidRPr="00165893" w:rsidRDefault="00BF5EAE"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 xml:space="preserve">niedopasowanie terminów zapadalności aktywów do terminów wymagalności pasywów i istnienie </w:t>
      </w:r>
      <w:r w:rsidRPr="00165893">
        <w:rPr>
          <w:rFonts w:ascii="Calibri" w:hAnsi="Calibri" w:cs="Calibri"/>
          <w:noProof/>
          <w:sz w:val="24"/>
          <w:szCs w:val="24"/>
        </w:rPr>
        <w:drawing>
          <wp:inline distT="0" distB="0" distL="0" distR="0" wp14:anchorId="0F80B847" wp14:editId="582A24DA">
            <wp:extent cx="24375" cy="30464"/>
            <wp:effectExtent l="0" t="0" r="0" b="0"/>
            <wp:docPr id="231304" name="Picture 231304"/>
            <wp:cNvGraphicFramePr/>
            <a:graphic xmlns:a="http://schemas.openxmlformats.org/drawingml/2006/main">
              <a:graphicData uri="http://schemas.openxmlformats.org/drawingml/2006/picture">
                <pic:pic xmlns:pic="http://schemas.openxmlformats.org/drawingml/2006/picture">
                  <pic:nvPicPr>
                    <pic:cNvPr id="231304" name="Picture 231304"/>
                    <pic:cNvPicPr/>
                  </pic:nvPicPr>
                  <pic:blipFill>
                    <a:blip r:embed="rId37"/>
                    <a:stretch>
                      <a:fillRect/>
                    </a:stretch>
                  </pic:blipFill>
                  <pic:spPr>
                    <a:xfrm>
                      <a:off x="0" y="0"/>
                      <a:ext cx="24375" cy="30464"/>
                    </a:xfrm>
                    <a:prstGeom prst="rect">
                      <a:avLst/>
                    </a:prstGeom>
                  </pic:spPr>
                </pic:pic>
              </a:graphicData>
            </a:graphic>
          </wp:inline>
        </w:drawing>
      </w:r>
      <w:r w:rsidRPr="00165893">
        <w:rPr>
          <w:rFonts w:ascii="Calibri" w:eastAsia="Times New Roman" w:hAnsi="Calibri" w:cs="Calibri"/>
          <w:sz w:val="24"/>
          <w:szCs w:val="24"/>
        </w:rPr>
        <w:t>niekorzystnej skumulowanej luki płynności w poszczególnych przedziałach,</w:t>
      </w:r>
    </w:p>
    <w:p w14:paraId="7E90570B" w14:textId="3DE813C7" w:rsidR="00BF5EAE"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przedterminowe wycofywanie depozytów przez klientów zaburzające prognozy przypływów pieniężnych Banku,</w:t>
      </w:r>
    </w:p>
    <w:p w14:paraId="6CEDF5CE" w14:textId="2776CFB0" w:rsidR="00E025B8"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nadmierna koncentracja depozytów pod względem dużych kontrahentów,</w:t>
      </w:r>
    </w:p>
    <w:p w14:paraId="69B1FCE0" w14:textId="2A64A76D" w:rsidR="00E025B8"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znaczące zaangażowanie depozytowe osób wewnętrznych Bank,</w:t>
      </w:r>
    </w:p>
    <w:p w14:paraId="775216E8" w14:textId="48692533" w:rsidR="00E025B8"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konieczność pozyskiwania depozytów po wysokim koszcie w sytuacji nagłego zapotrzebowania na środki,</w:t>
      </w:r>
    </w:p>
    <w:p w14:paraId="14A0BDFC" w14:textId="119D2147" w:rsidR="00E025B8"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 xml:space="preserve">wadliwe plany awaryjne płynności, nie uwzględniające szokowych </w:t>
      </w:r>
      <w:proofErr w:type="spellStart"/>
      <w:r w:rsidRPr="00165893">
        <w:rPr>
          <w:rFonts w:ascii="Calibri" w:eastAsia="Times New Roman" w:hAnsi="Calibri" w:cs="Calibri"/>
          <w:sz w:val="24"/>
          <w:szCs w:val="24"/>
        </w:rPr>
        <w:t>zachow</w:t>
      </w:r>
      <w:r w:rsidR="00165893" w:rsidRPr="00165893">
        <w:rPr>
          <w:rFonts w:ascii="Calibri" w:eastAsia="Times New Roman" w:hAnsi="Calibri" w:cs="Calibri"/>
          <w:sz w:val="24"/>
          <w:szCs w:val="24"/>
        </w:rPr>
        <w:t>ań</w:t>
      </w:r>
      <w:proofErr w:type="spellEnd"/>
      <w:r w:rsidRPr="00165893">
        <w:rPr>
          <w:rFonts w:ascii="Calibri" w:eastAsia="Times New Roman" w:hAnsi="Calibri" w:cs="Calibri"/>
          <w:sz w:val="24"/>
          <w:szCs w:val="24"/>
        </w:rPr>
        <w:t xml:space="preserve"> klientów,</w:t>
      </w:r>
    </w:p>
    <w:p w14:paraId="163847B1" w14:textId="77777777" w:rsidR="00E025B8"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niski stosunek depozytów, w tym depozytów stabilnych do akcji kredytowej Banku;</w:t>
      </w:r>
    </w:p>
    <w:p w14:paraId="1048CAC2" w14:textId="77777777" w:rsidR="00E025B8"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 xml:space="preserve">niewystarczające fundusze własne do finansowania aktywów strukturalnie niepłynnych; </w:t>
      </w:r>
    </w:p>
    <w:p w14:paraId="15885C5B" w14:textId="3B04472A" w:rsidR="00E025B8" w:rsidRPr="00165893" w:rsidRDefault="00E025B8" w:rsidP="00165893">
      <w:pPr>
        <w:pStyle w:val="Akapitzlist"/>
        <w:numPr>
          <w:ilvl w:val="0"/>
          <w:numId w:val="11"/>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ryzyko reputacji.</w:t>
      </w:r>
    </w:p>
    <w:p w14:paraId="1C30308B" w14:textId="36F72A34" w:rsidR="00E025B8" w:rsidRPr="00165893" w:rsidRDefault="00E025B8" w:rsidP="00165893">
      <w:p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Bank ogranicza ryzyko płynności poprzez skuteczne zarządzanie nim, a w szczególności przez:</w:t>
      </w:r>
    </w:p>
    <w:p w14:paraId="326DFCC7" w14:textId="20A5AA4B" w:rsidR="002464DC" w:rsidRPr="00165893" w:rsidRDefault="002464DC" w:rsidP="00165893">
      <w:pPr>
        <w:pStyle w:val="Akapitzlist"/>
        <w:numPr>
          <w:ilvl w:val="0"/>
          <w:numId w:val="12"/>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 xml:space="preserve">pomiar i monitorowanie płynności </w:t>
      </w:r>
      <w:proofErr w:type="spellStart"/>
      <w:r w:rsidRPr="00165893">
        <w:rPr>
          <w:rFonts w:ascii="Calibri" w:eastAsia="Times New Roman" w:hAnsi="Calibri" w:cs="Calibri"/>
          <w:sz w:val="24"/>
          <w:szCs w:val="24"/>
        </w:rPr>
        <w:t>śróddziennej</w:t>
      </w:r>
      <w:proofErr w:type="spellEnd"/>
      <w:r w:rsidRPr="00165893">
        <w:rPr>
          <w:rFonts w:ascii="Calibri" w:eastAsia="Times New Roman" w:hAnsi="Calibri" w:cs="Calibri"/>
          <w:sz w:val="24"/>
          <w:szCs w:val="24"/>
        </w:rPr>
        <w:t>, krótkoterminowej, średnioterminowej i długoterminowej;</w:t>
      </w:r>
    </w:p>
    <w:p w14:paraId="161B0C15" w14:textId="6F2FD57C" w:rsidR="002464DC" w:rsidRPr="00165893" w:rsidRDefault="002464DC" w:rsidP="00165893">
      <w:pPr>
        <w:pStyle w:val="Akapitzlist"/>
        <w:numPr>
          <w:ilvl w:val="0"/>
          <w:numId w:val="12"/>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ustalenie wskaźników wczesnego ostrzegania o zagrożeniu utraty płynności;</w:t>
      </w:r>
    </w:p>
    <w:p w14:paraId="2B18829F" w14:textId="2EBCC996" w:rsidR="002464DC" w:rsidRPr="00165893" w:rsidRDefault="002464DC" w:rsidP="00165893">
      <w:pPr>
        <w:pStyle w:val="Akapitzlist"/>
        <w:numPr>
          <w:ilvl w:val="0"/>
          <w:numId w:val="12"/>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ustalenie limitów wewnętrznych na odpowiednim poziomie;</w:t>
      </w:r>
    </w:p>
    <w:p w14:paraId="523D9B19" w14:textId="77777777" w:rsidR="00B9422A" w:rsidRDefault="002464DC" w:rsidP="00165893">
      <w:pPr>
        <w:pStyle w:val="Akapitzlist"/>
        <w:numPr>
          <w:ilvl w:val="0"/>
          <w:numId w:val="12"/>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 xml:space="preserve">przeprowadzanie testów warunków skrajnych w wielu wariantach; </w:t>
      </w:r>
      <w:r w:rsidR="00B9422A">
        <w:rPr>
          <w:rFonts w:ascii="Calibri" w:eastAsia="Times New Roman" w:hAnsi="Calibri" w:cs="Calibri"/>
          <w:sz w:val="24"/>
          <w:szCs w:val="24"/>
        </w:rPr>
        <w:t xml:space="preserve">  </w:t>
      </w:r>
    </w:p>
    <w:p w14:paraId="039C0E79" w14:textId="4C71FBC1" w:rsidR="002464DC" w:rsidRPr="00165893" w:rsidRDefault="002464DC" w:rsidP="00165893">
      <w:pPr>
        <w:pStyle w:val="Akapitzlist"/>
        <w:numPr>
          <w:ilvl w:val="0"/>
          <w:numId w:val="12"/>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posiadanie planów awaryjnych na wypadek sytuacji kryzysowej.</w:t>
      </w:r>
    </w:p>
    <w:p w14:paraId="026C517A" w14:textId="4A1208E0" w:rsidR="002464DC" w:rsidRPr="00165893" w:rsidRDefault="00C1141A" w:rsidP="00165893">
      <w:p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 xml:space="preserve">Zamierzenia Banku, służące redukcji ryzyka płynności, realizowane poprzez podejmowanie następujących </w:t>
      </w:r>
      <w:r w:rsidRPr="00165893">
        <w:rPr>
          <w:rFonts w:ascii="Calibri" w:hAnsi="Calibri" w:cs="Calibri"/>
          <w:noProof/>
          <w:sz w:val="24"/>
          <w:szCs w:val="24"/>
        </w:rPr>
        <w:drawing>
          <wp:inline distT="0" distB="0" distL="0" distR="0" wp14:anchorId="24622976" wp14:editId="64DD5248">
            <wp:extent cx="6094" cy="6093"/>
            <wp:effectExtent l="0" t="0" r="0" b="0"/>
            <wp:docPr id="69465" name="Picture 69465"/>
            <wp:cNvGraphicFramePr/>
            <a:graphic xmlns:a="http://schemas.openxmlformats.org/drawingml/2006/main">
              <a:graphicData uri="http://schemas.openxmlformats.org/drawingml/2006/picture">
                <pic:pic xmlns:pic="http://schemas.openxmlformats.org/drawingml/2006/picture">
                  <pic:nvPicPr>
                    <pic:cNvPr id="69465" name="Picture 69465"/>
                    <pic:cNvPicPr/>
                  </pic:nvPicPr>
                  <pic:blipFill>
                    <a:blip r:embed="rId38"/>
                    <a:stretch>
                      <a:fillRect/>
                    </a:stretch>
                  </pic:blipFill>
                  <pic:spPr>
                    <a:xfrm>
                      <a:off x="0" y="0"/>
                      <a:ext cx="6094" cy="6093"/>
                    </a:xfrm>
                    <a:prstGeom prst="rect">
                      <a:avLst/>
                    </a:prstGeom>
                  </pic:spPr>
                </pic:pic>
              </a:graphicData>
            </a:graphic>
          </wp:inline>
        </w:drawing>
      </w:r>
      <w:r w:rsidRPr="00165893">
        <w:rPr>
          <w:rFonts w:ascii="Calibri" w:eastAsia="Times New Roman" w:hAnsi="Calibri" w:cs="Calibri"/>
          <w:sz w:val="24"/>
          <w:szCs w:val="24"/>
        </w:rPr>
        <w:t>działań:</w:t>
      </w:r>
    </w:p>
    <w:p w14:paraId="51EC53BC" w14:textId="399C7E57" w:rsidR="00C1141A" w:rsidRPr="00165893" w:rsidRDefault="00AC6BF5" w:rsidP="00165893">
      <w:pPr>
        <w:pStyle w:val="Akapitzlist"/>
        <w:numPr>
          <w:ilvl w:val="0"/>
          <w:numId w:val="13"/>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monitorowanie dostosowania regulacji wewnętrznych do zmieniających się przepisów zewnętrznych</w:t>
      </w:r>
      <w:r w:rsidR="00D13477">
        <w:rPr>
          <w:rFonts w:ascii="Calibri" w:eastAsia="Times New Roman" w:hAnsi="Calibri" w:cs="Calibri"/>
          <w:sz w:val="24"/>
          <w:szCs w:val="24"/>
        </w:rPr>
        <w:t>;</w:t>
      </w:r>
    </w:p>
    <w:p w14:paraId="638C3F39" w14:textId="1AAD5B89" w:rsidR="00AC6BF5" w:rsidRPr="00165893" w:rsidRDefault="00AC6BF5" w:rsidP="00165893">
      <w:pPr>
        <w:pStyle w:val="Akapitzlist"/>
        <w:numPr>
          <w:ilvl w:val="0"/>
          <w:numId w:val="13"/>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usprawnianie zarządzania ryzykiem płynności;</w:t>
      </w:r>
    </w:p>
    <w:p w14:paraId="34662A0F" w14:textId="43A7A2DA" w:rsidR="00AC6BF5" w:rsidRPr="00165893" w:rsidRDefault="00AC6BF5" w:rsidP="00165893">
      <w:pPr>
        <w:pStyle w:val="Akapitzlist"/>
        <w:numPr>
          <w:ilvl w:val="0"/>
          <w:numId w:val="13"/>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organizacja szkoleń dla pracowników odpowiedzialnych za zarządzanie ryzykiem płynności oraz dla pozostałych w zakresie w</w:t>
      </w:r>
      <w:r w:rsidR="00D13477">
        <w:rPr>
          <w:rFonts w:ascii="Calibri" w:eastAsia="Times New Roman" w:hAnsi="Calibri" w:cs="Calibri"/>
          <w:sz w:val="24"/>
          <w:szCs w:val="24"/>
        </w:rPr>
        <w:t xml:space="preserve"> </w:t>
      </w:r>
      <w:r w:rsidRPr="00165893">
        <w:rPr>
          <w:rFonts w:ascii="Calibri" w:eastAsia="Times New Roman" w:hAnsi="Calibri" w:cs="Calibri"/>
          <w:sz w:val="24"/>
          <w:szCs w:val="24"/>
        </w:rPr>
        <w:t>jakim generują ryzyko płynności;</w:t>
      </w:r>
    </w:p>
    <w:p w14:paraId="71C40282" w14:textId="2D89075E" w:rsidR="00AC6BF5" w:rsidRPr="00165893" w:rsidRDefault="00AC6BF5" w:rsidP="00165893">
      <w:pPr>
        <w:pStyle w:val="Akapitzlist"/>
        <w:numPr>
          <w:ilvl w:val="0"/>
          <w:numId w:val="13"/>
        </w:num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lastRenderedPageBreak/>
        <w:t>monitorowanie mechanizmów kontrolnych w zakresie zarządzania ryzykiem płynności.</w:t>
      </w:r>
    </w:p>
    <w:p w14:paraId="59AA4AEA" w14:textId="26A5EEA5" w:rsidR="00BF5EAE" w:rsidRPr="00165893" w:rsidRDefault="00AC6BF5" w:rsidP="00165893">
      <w:pPr>
        <w:pStyle w:val="Akapitzlist"/>
        <w:spacing w:after="0" w:line="360" w:lineRule="auto"/>
        <w:ind w:left="0"/>
        <w:jc w:val="both"/>
        <w:rPr>
          <w:rFonts w:ascii="Calibri" w:eastAsia="Times New Roman" w:hAnsi="Calibri" w:cs="Calibri"/>
          <w:sz w:val="24"/>
          <w:szCs w:val="24"/>
        </w:rPr>
      </w:pPr>
      <w:r w:rsidRPr="00165893">
        <w:rPr>
          <w:rFonts w:ascii="Calibri" w:eastAsia="Times New Roman" w:hAnsi="Calibri" w:cs="Calibri"/>
          <w:sz w:val="24"/>
          <w:szCs w:val="24"/>
        </w:rPr>
        <w:t>W ramach zarządzania ryzykiem płynności Bank przeprowadza testy warunków skrajnych, których wyniki wykorzystywane są do planowania awaryjnego, wyznaczania poziomu limitów, dokonywania zmian w polityce płynnościowej Banku oraz szacowania kapitału wewnętrznego.</w:t>
      </w:r>
    </w:p>
    <w:p w14:paraId="129B0FB4" w14:textId="00B897C2" w:rsidR="00AC6BF5" w:rsidRPr="00165893" w:rsidRDefault="00AC6BF5" w:rsidP="00165893">
      <w:pPr>
        <w:pStyle w:val="Akapitzlist"/>
        <w:spacing w:after="0" w:line="360" w:lineRule="auto"/>
        <w:ind w:left="0"/>
        <w:jc w:val="both"/>
        <w:rPr>
          <w:rFonts w:ascii="Calibri" w:eastAsia="Times New Roman" w:hAnsi="Calibri" w:cs="Calibri"/>
          <w:sz w:val="24"/>
          <w:szCs w:val="24"/>
        </w:rPr>
      </w:pPr>
      <w:r w:rsidRPr="00165893">
        <w:rPr>
          <w:rFonts w:ascii="Calibri" w:eastAsia="Times New Roman" w:hAnsi="Calibri" w:cs="Calibri"/>
          <w:sz w:val="24"/>
          <w:szCs w:val="24"/>
        </w:rPr>
        <w:t>Testy warunków skrajnych zostały zintegrowane z awaryjnymi planami płynności poprzez wykorzystanie testów jako scenariuszy uruchamiających awaryjny plan płynnościowy. W przypadkach, w których wyniki testu wskazują, że realizacja scenariusza powoduje obniżenie wskaźników LCR poniżej wartości</w:t>
      </w:r>
      <w:r w:rsidR="00314AC1" w:rsidRPr="00165893">
        <w:rPr>
          <w:rFonts w:ascii="Calibri" w:eastAsia="Times New Roman" w:hAnsi="Calibri" w:cs="Calibri"/>
          <w:sz w:val="24"/>
          <w:szCs w:val="24"/>
        </w:rPr>
        <w:t xml:space="preserve"> ostrzegawczej Bank ocenia czy dysponuje odpowiednimi instrumentami niwelującymi negatywne skutki realizacji scenariusza.</w:t>
      </w:r>
    </w:p>
    <w:p w14:paraId="5340B448" w14:textId="74512332" w:rsidR="00314AC1" w:rsidRPr="00165893" w:rsidRDefault="00314AC1" w:rsidP="00165893">
      <w:pPr>
        <w:pStyle w:val="Akapitzlist"/>
        <w:spacing w:after="0" w:line="360" w:lineRule="auto"/>
        <w:ind w:left="0"/>
        <w:jc w:val="both"/>
        <w:rPr>
          <w:rFonts w:ascii="Calibri" w:eastAsia="Times New Roman" w:hAnsi="Calibri" w:cs="Calibri"/>
          <w:sz w:val="24"/>
          <w:szCs w:val="24"/>
        </w:rPr>
      </w:pPr>
      <w:r w:rsidRPr="00165893">
        <w:rPr>
          <w:rFonts w:ascii="Calibri" w:eastAsia="Times New Roman" w:hAnsi="Calibri" w:cs="Calibri"/>
          <w:sz w:val="24"/>
          <w:szCs w:val="24"/>
        </w:rPr>
        <w:t>Z zakresu ryzyka płynności w Banku funkcjonuje system informacji zarządczej, który pozwala Zarządowi Banku i Radzie Nadzorczej na m.in.:</w:t>
      </w:r>
    </w:p>
    <w:p w14:paraId="141907CC" w14:textId="4CBEF97C" w:rsidR="00314AC1" w:rsidRPr="00165893" w:rsidRDefault="00314AC1" w:rsidP="00165893">
      <w:pPr>
        <w:pStyle w:val="Akapitzlist"/>
        <w:numPr>
          <w:ilvl w:val="0"/>
          <w:numId w:val="14"/>
        </w:numPr>
        <w:spacing w:after="0" w:line="360" w:lineRule="auto"/>
        <w:jc w:val="both"/>
        <w:rPr>
          <w:rFonts w:ascii="Calibri" w:hAnsi="Calibri" w:cs="Calibri"/>
          <w:sz w:val="24"/>
          <w:szCs w:val="24"/>
        </w:rPr>
      </w:pPr>
      <w:r w:rsidRPr="00165893">
        <w:rPr>
          <w:rFonts w:ascii="Calibri" w:eastAsia="Times New Roman" w:hAnsi="Calibri" w:cs="Calibri"/>
          <w:sz w:val="24"/>
          <w:szCs w:val="24"/>
        </w:rPr>
        <w:t>monitorowanie poziomu ryzyka, w tym przyjętych limitów;</w:t>
      </w:r>
    </w:p>
    <w:p w14:paraId="228D8ED4" w14:textId="0E009A79" w:rsidR="00314AC1" w:rsidRPr="00165893" w:rsidRDefault="00314AC1" w:rsidP="00165893">
      <w:pPr>
        <w:pStyle w:val="Akapitzlist"/>
        <w:numPr>
          <w:ilvl w:val="0"/>
          <w:numId w:val="14"/>
        </w:numPr>
        <w:spacing w:after="0" w:line="360" w:lineRule="auto"/>
        <w:jc w:val="both"/>
        <w:rPr>
          <w:rFonts w:ascii="Calibri" w:hAnsi="Calibri" w:cs="Calibri"/>
          <w:sz w:val="24"/>
          <w:szCs w:val="24"/>
        </w:rPr>
      </w:pPr>
      <w:r w:rsidRPr="00165893">
        <w:rPr>
          <w:rFonts w:ascii="Calibri" w:eastAsia="Times New Roman" w:hAnsi="Calibri" w:cs="Calibri"/>
          <w:sz w:val="24"/>
          <w:szCs w:val="24"/>
        </w:rPr>
        <w:t>kontrolę realizacji celów strategicznych w zakresie ryzyka płynności;</w:t>
      </w:r>
      <w:r w:rsidRPr="00165893">
        <w:rPr>
          <w:rFonts w:ascii="Calibri" w:hAnsi="Calibri" w:cs="Calibri"/>
          <w:noProof/>
          <w:sz w:val="24"/>
          <w:szCs w:val="24"/>
        </w:rPr>
        <w:drawing>
          <wp:inline distT="0" distB="0" distL="0" distR="0" wp14:anchorId="4832C94E" wp14:editId="5F619BC3">
            <wp:extent cx="6093" cy="73114"/>
            <wp:effectExtent l="0" t="0" r="0" b="0"/>
            <wp:docPr id="231319" name="Picture 231319"/>
            <wp:cNvGraphicFramePr/>
            <a:graphic xmlns:a="http://schemas.openxmlformats.org/drawingml/2006/main">
              <a:graphicData uri="http://schemas.openxmlformats.org/drawingml/2006/picture">
                <pic:pic xmlns:pic="http://schemas.openxmlformats.org/drawingml/2006/picture">
                  <pic:nvPicPr>
                    <pic:cNvPr id="231319" name="Picture 231319"/>
                    <pic:cNvPicPr/>
                  </pic:nvPicPr>
                  <pic:blipFill>
                    <a:blip r:embed="rId39"/>
                    <a:stretch>
                      <a:fillRect/>
                    </a:stretch>
                  </pic:blipFill>
                  <pic:spPr>
                    <a:xfrm>
                      <a:off x="0" y="0"/>
                      <a:ext cx="6093" cy="73114"/>
                    </a:xfrm>
                    <a:prstGeom prst="rect">
                      <a:avLst/>
                    </a:prstGeom>
                  </pic:spPr>
                </pic:pic>
              </a:graphicData>
            </a:graphic>
          </wp:inline>
        </w:drawing>
      </w:r>
    </w:p>
    <w:p w14:paraId="289177AC" w14:textId="566F576D" w:rsidR="00314AC1" w:rsidRPr="00165893" w:rsidRDefault="00314AC1" w:rsidP="00165893">
      <w:pPr>
        <w:pStyle w:val="Akapitzlist"/>
        <w:numPr>
          <w:ilvl w:val="0"/>
          <w:numId w:val="14"/>
        </w:numPr>
        <w:spacing w:after="0" w:line="360" w:lineRule="auto"/>
        <w:jc w:val="both"/>
        <w:rPr>
          <w:rFonts w:ascii="Calibri" w:hAnsi="Calibri" w:cs="Calibri"/>
          <w:sz w:val="24"/>
          <w:szCs w:val="24"/>
        </w:rPr>
      </w:pPr>
      <w:r w:rsidRPr="00165893">
        <w:rPr>
          <w:rFonts w:ascii="Calibri" w:eastAsia="Times New Roman" w:hAnsi="Calibri" w:cs="Calibri"/>
          <w:sz w:val="24"/>
          <w:szCs w:val="24"/>
        </w:rPr>
        <w:t>ocenę skutków podejmowanych decyzji;</w:t>
      </w:r>
    </w:p>
    <w:p w14:paraId="496AC81B" w14:textId="208BA22E" w:rsidR="00314AC1" w:rsidRPr="00165893" w:rsidRDefault="00314AC1" w:rsidP="00165893">
      <w:pPr>
        <w:pStyle w:val="Akapitzlist"/>
        <w:numPr>
          <w:ilvl w:val="0"/>
          <w:numId w:val="14"/>
        </w:numPr>
        <w:spacing w:after="0" w:line="360" w:lineRule="auto"/>
        <w:jc w:val="both"/>
        <w:rPr>
          <w:rFonts w:ascii="Calibri" w:hAnsi="Calibri" w:cs="Calibri"/>
          <w:sz w:val="24"/>
          <w:szCs w:val="24"/>
        </w:rPr>
      </w:pPr>
      <w:r w:rsidRPr="00165893">
        <w:rPr>
          <w:rFonts w:ascii="Calibri" w:eastAsia="Times New Roman" w:hAnsi="Calibri" w:cs="Calibri"/>
          <w:sz w:val="24"/>
          <w:szCs w:val="24"/>
        </w:rPr>
        <w:t>podejmowanie odpowiednich działań w celu ograniczania ryzyka.</w:t>
      </w:r>
    </w:p>
    <w:p w14:paraId="03013D5C" w14:textId="065A4C3F" w:rsidR="00314AC1" w:rsidRPr="00165893" w:rsidRDefault="00314AC1" w:rsidP="00165893">
      <w:p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Raporty z ryzyka płynności dla Zarządu Banku i Rady Nadzorczej sporządzane są z częstotliwością przynajmniej miesięczną.</w:t>
      </w:r>
    </w:p>
    <w:p w14:paraId="20789DA2" w14:textId="4E441C21" w:rsidR="00314AC1" w:rsidRPr="00165893" w:rsidRDefault="00314AC1" w:rsidP="00165893">
      <w:pPr>
        <w:spacing w:after="0" w:line="360" w:lineRule="auto"/>
        <w:jc w:val="both"/>
        <w:rPr>
          <w:rFonts w:ascii="Calibri" w:eastAsia="Times New Roman" w:hAnsi="Calibri" w:cs="Calibri"/>
          <w:sz w:val="24"/>
          <w:szCs w:val="24"/>
        </w:rPr>
      </w:pPr>
      <w:r w:rsidRPr="00165893">
        <w:rPr>
          <w:rFonts w:ascii="Calibri" w:eastAsia="Times New Roman" w:hAnsi="Calibri" w:cs="Calibri"/>
          <w:sz w:val="24"/>
          <w:szCs w:val="24"/>
        </w:rPr>
        <w:t>System informacji zarządczej z zakresu ryzyka płynności zawiera m.in. dane na temat:</w:t>
      </w:r>
      <w:r w:rsidRPr="00165893">
        <w:rPr>
          <w:rFonts w:ascii="Calibri" w:hAnsi="Calibri" w:cs="Calibri"/>
          <w:noProof/>
          <w:sz w:val="24"/>
          <w:szCs w:val="24"/>
        </w:rPr>
        <w:drawing>
          <wp:inline distT="0" distB="0" distL="0" distR="0" wp14:anchorId="25F7F462" wp14:editId="346717A3">
            <wp:extent cx="6093" cy="6093"/>
            <wp:effectExtent l="0" t="0" r="0" b="0"/>
            <wp:docPr id="72133" name="Picture 72133"/>
            <wp:cNvGraphicFramePr/>
            <a:graphic xmlns:a="http://schemas.openxmlformats.org/drawingml/2006/main">
              <a:graphicData uri="http://schemas.openxmlformats.org/drawingml/2006/picture">
                <pic:pic xmlns:pic="http://schemas.openxmlformats.org/drawingml/2006/picture">
                  <pic:nvPicPr>
                    <pic:cNvPr id="72133" name="Picture 72133"/>
                    <pic:cNvPicPr/>
                  </pic:nvPicPr>
                  <pic:blipFill>
                    <a:blip r:embed="rId40"/>
                    <a:stretch>
                      <a:fillRect/>
                    </a:stretch>
                  </pic:blipFill>
                  <pic:spPr>
                    <a:xfrm>
                      <a:off x="0" y="0"/>
                      <a:ext cx="6093" cy="6093"/>
                    </a:xfrm>
                    <a:prstGeom prst="rect">
                      <a:avLst/>
                    </a:prstGeom>
                  </pic:spPr>
                </pic:pic>
              </a:graphicData>
            </a:graphic>
          </wp:inline>
        </w:drawing>
      </w:r>
    </w:p>
    <w:p w14:paraId="131271A3" w14:textId="32B95894" w:rsidR="00314AC1" w:rsidRPr="00165893" w:rsidRDefault="00314AC1" w:rsidP="00165893">
      <w:pPr>
        <w:pStyle w:val="Akapitzlist"/>
        <w:numPr>
          <w:ilvl w:val="0"/>
          <w:numId w:val="15"/>
        </w:numPr>
        <w:spacing w:after="0" w:line="360" w:lineRule="auto"/>
        <w:jc w:val="both"/>
        <w:rPr>
          <w:rFonts w:ascii="Calibri" w:hAnsi="Calibri" w:cs="Calibri"/>
          <w:sz w:val="24"/>
          <w:szCs w:val="24"/>
        </w:rPr>
      </w:pPr>
      <w:r w:rsidRPr="00165893">
        <w:rPr>
          <w:rFonts w:ascii="Calibri" w:eastAsia="Times New Roman" w:hAnsi="Calibri" w:cs="Calibri"/>
          <w:sz w:val="24"/>
          <w:szCs w:val="24"/>
        </w:rPr>
        <w:t>struktury źródeł finansowania działalności Banku, ze szczególnym uwzględnieniem depozytów</w:t>
      </w:r>
      <w:r w:rsidR="00423228">
        <w:rPr>
          <w:rFonts w:ascii="Calibri" w:eastAsia="Times New Roman" w:hAnsi="Calibri" w:cs="Calibri"/>
          <w:sz w:val="24"/>
          <w:szCs w:val="24"/>
        </w:rPr>
        <w:t>;</w:t>
      </w:r>
    </w:p>
    <w:p w14:paraId="3CE756D3" w14:textId="78189500" w:rsidR="00314AC1" w:rsidRPr="00165893" w:rsidRDefault="00314AC1" w:rsidP="00165893">
      <w:pPr>
        <w:pStyle w:val="Akapitzlist"/>
        <w:numPr>
          <w:ilvl w:val="0"/>
          <w:numId w:val="15"/>
        </w:numPr>
        <w:spacing w:after="0" w:line="360" w:lineRule="auto"/>
        <w:jc w:val="both"/>
        <w:rPr>
          <w:rFonts w:ascii="Calibri" w:hAnsi="Calibri" w:cs="Calibri"/>
          <w:sz w:val="24"/>
          <w:szCs w:val="24"/>
        </w:rPr>
      </w:pPr>
      <w:r w:rsidRPr="00165893">
        <w:rPr>
          <w:rFonts w:ascii="Calibri" w:eastAsia="Times New Roman" w:hAnsi="Calibri" w:cs="Calibri"/>
          <w:sz w:val="24"/>
          <w:szCs w:val="24"/>
        </w:rPr>
        <w:t>stabilności źródeł finansowania działalności Banku, w tym oceny zagrożeń wynikających z nagłego wycofania depozytów internetowych i mobilnych, a także depozytów dla których Bank stosuje ponadprzeciętne stawki oprocentowania</w:t>
      </w:r>
      <w:r w:rsidR="00423228">
        <w:rPr>
          <w:rFonts w:ascii="Calibri" w:eastAsia="Times New Roman" w:hAnsi="Calibri" w:cs="Calibri"/>
          <w:sz w:val="24"/>
          <w:szCs w:val="24"/>
        </w:rPr>
        <w:t>;</w:t>
      </w:r>
    </w:p>
    <w:p w14:paraId="0ADE984D" w14:textId="76A33616" w:rsidR="00314AC1" w:rsidRPr="00165893" w:rsidRDefault="00AD13C5" w:rsidP="00165893">
      <w:pPr>
        <w:pStyle w:val="Akapitzlist"/>
        <w:numPr>
          <w:ilvl w:val="0"/>
          <w:numId w:val="15"/>
        </w:numPr>
        <w:spacing w:after="0" w:line="360" w:lineRule="auto"/>
        <w:jc w:val="both"/>
        <w:rPr>
          <w:rFonts w:ascii="Calibri" w:hAnsi="Calibri" w:cs="Calibri"/>
          <w:sz w:val="24"/>
          <w:szCs w:val="24"/>
        </w:rPr>
      </w:pPr>
      <w:r w:rsidRPr="00165893">
        <w:rPr>
          <w:rFonts w:ascii="Calibri" w:eastAsia="Times New Roman" w:hAnsi="Calibri" w:cs="Calibri"/>
          <w:sz w:val="24"/>
          <w:szCs w:val="24"/>
        </w:rPr>
        <w:t>stopnia niedopasowania terminów płatności pozycji bilansowych i pozabilansowych</w:t>
      </w:r>
      <w:r w:rsidR="00423228">
        <w:rPr>
          <w:rFonts w:ascii="Calibri" w:eastAsia="Times New Roman" w:hAnsi="Calibri" w:cs="Calibri"/>
          <w:sz w:val="24"/>
          <w:szCs w:val="24"/>
        </w:rPr>
        <w:t>;</w:t>
      </w:r>
    </w:p>
    <w:p w14:paraId="6C6D32DC" w14:textId="4928FF0C" w:rsidR="00AD13C5" w:rsidRPr="00165893" w:rsidRDefault="00760684" w:rsidP="00165893">
      <w:pPr>
        <w:pStyle w:val="Akapitzlist"/>
        <w:numPr>
          <w:ilvl w:val="0"/>
          <w:numId w:val="15"/>
        </w:numPr>
        <w:spacing w:after="0" w:line="360" w:lineRule="auto"/>
        <w:jc w:val="both"/>
        <w:rPr>
          <w:rFonts w:ascii="Calibri" w:hAnsi="Calibri" w:cs="Calibri"/>
          <w:sz w:val="24"/>
          <w:szCs w:val="24"/>
        </w:rPr>
      </w:pPr>
      <w:r w:rsidRPr="00165893">
        <w:rPr>
          <w:rFonts w:ascii="Calibri" w:eastAsia="Times New Roman" w:hAnsi="Calibri" w:cs="Calibri"/>
          <w:sz w:val="24"/>
          <w:szCs w:val="24"/>
        </w:rPr>
        <w:t>poziomu aktywów nieobciążonych</w:t>
      </w:r>
      <w:r w:rsidR="00423228">
        <w:rPr>
          <w:rFonts w:ascii="Calibri" w:eastAsia="Times New Roman" w:hAnsi="Calibri" w:cs="Calibri"/>
          <w:sz w:val="24"/>
          <w:szCs w:val="24"/>
        </w:rPr>
        <w:t>;</w:t>
      </w:r>
    </w:p>
    <w:p w14:paraId="19AB26AD" w14:textId="703C38D3" w:rsidR="00760684" w:rsidRPr="00165893" w:rsidRDefault="00760684" w:rsidP="00165893">
      <w:pPr>
        <w:pStyle w:val="Akapitzlist"/>
        <w:numPr>
          <w:ilvl w:val="0"/>
          <w:numId w:val="15"/>
        </w:numPr>
        <w:spacing w:after="0" w:line="360" w:lineRule="auto"/>
        <w:jc w:val="both"/>
        <w:rPr>
          <w:rFonts w:ascii="Calibri" w:hAnsi="Calibri" w:cs="Calibri"/>
          <w:sz w:val="24"/>
          <w:szCs w:val="24"/>
        </w:rPr>
      </w:pPr>
      <w:r w:rsidRPr="00165893">
        <w:rPr>
          <w:rFonts w:ascii="Calibri" w:eastAsia="Times New Roman" w:hAnsi="Calibri" w:cs="Calibri"/>
          <w:sz w:val="24"/>
          <w:szCs w:val="24"/>
        </w:rPr>
        <w:t>analizy wskaźników płynności;</w:t>
      </w:r>
    </w:p>
    <w:p w14:paraId="656FEFFB" w14:textId="44CD50FE" w:rsidR="00760684" w:rsidRPr="00165893" w:rsidRDefault="00760684" w:rsidP="00165893">
      <w:pPr>
        <w:pStyle w:val="Akapitzlist"/>
        <w:numPr>
          <w:ilvl w:val="0"/>
          <w:numId w:val="15"/>
        </w:numPr>
        <w:spacing w:after="0" w:line="360" w:lineRule="auto"/>
        <w:jc w:val="both"/>
        <w:rPr>
          <w:rFonts w:ascii="Calibri" w:hAnsi="Calibri" w:cs="Calibri"/>
          <w:sz w:val="24"/>
          <w:szCs w:val="24"/>
        </w:rPr>
      </w:pPr>
      <w:r w:rsidRPr="00165893">
        <w:rPr>
          <w:rFonts w:ascii="Calibri" w:eastAsia="Times New Roman" w:hAnsi="Calibri" w:cs="Calibri"/>
          <w:sz w:val="24"/>
          <w:szCs w:val="24"/>
        </w:rPr>
        <w:t>wyników testów warunków skrajnych</w:t>
      </w:r>
      <w:r w:rsidR="00423228">
        <w:rPr>
          <w:rFonts w:ascii="Calibri" w:eastAsia="Times New Roman" w:hAnsi="Calibri" w:cs="Calibri"/>
          <w:sz w:val="24"/>
          <w:szCs w:val="24"/>
        </w:rPr>
        <w:t>.</w:t>
      </w:r>
    </w:p>
    <w:p w14:paraId="7D66A191" w14:textId="77777777" w:rsidR="00C22803" w:rsidRPr="00165893" w:rsidRDefault="00C22803" w:rsidP="00165893">
      <w:pPr>
        <w:autoSpaceDE w:val="0"/>
        <w:autoSpaceDN w:val="0"/>
        <w:adjustRightInd w:val="0"/>
        <w:spacing w:after="0" w:line="360" w:lineRule="auto"/>
        <w:jc w:val="both"/>
        <w:rPr>
          <w:rFonts w:ascii="Calibri" w:hAnsi="Calibri" w:cs="Calibri"/>
          <w:sz w:val="24"/>
          <w:szCs w:val="24"/>
          <w:u w:val="single"/>
        </w:rPr>
      </w:pPr>
    </w:p>
    <w:p w14:paraId="3AC111FB" w14:textId="65620BAC" w:rsidR="00420D5D" w:rsidRPr="00165893" w:rsidRDefault="00420D5D" w:rsidP="00165893">
      <w:pPr>
        <w:autoSpaceDE w:val="0"/>
        <w:autoSpaceDN w:val="0"/>
        <w:adjustRightInd w:val="0"/>
        <w:spacing w:after="0" w:line="360" w:lineRule="auto"/>
        <w:jc w:val="both"/>
        <w:rPr>
          <w:rFonts w:ascii="Calibri" w:hAnsi="Calibri" w:cs="Calibri"/>
          <w:sz w:val="24"/>
          <w:szCs w:val="24"/>
        </w:rPr>
      </w:pPr>
      <w:r w:rsidRPr="00165893">
        <w:rPr>
          <w:rFonts w:ascii="Calibri" w:hAnsi="Calibri" w:cs="Calibri"/>
          <w:sz w:val="24"/>
          <w:szCs w:val="24"/>
        </w:rPr>
        <w:t xml:space="preserve">Wielkość wiążących Bank norm dopuszczalnego ryzyka w zakresie płynności określona jest m.in. w postaci wskaźnika LCR i NSFR. </w:t>
      </w:r>
    </w:p>
    <w:p w14:paraId="4CC5A0FA" w14:textId="470AAB67" w:rsidR="005621F0" w:rsidRPr="00165893" w:rsidRDefault="00420D5D" w:rsidP="00165893">
      <w:pPr>
        <w:autoSpaceDE w:val="0"/>
        <w:autoSpaceDN w:val="0"/>
        <w:adjustRightInd w:val="0"/>
        <w:spacing w:after="0" w:line="360" w:lineRule="auto"/>
        <w:jc w:val="both"/>
        <w:rPr>
          <w:rFonts w:ascii="Calibri" w:hAnsi="Calibri" w:cs="Calibri"/>
          <w:sz w:val="24"/>
          <w:szCs w:val="24"/>
        </w:rPr>
      </w:pPr>
      <w:r w:rsidRPr="00165893">
        <w:rPr>
          <w:rFonts w:ascii="Calibri" w:hAnsi="Calibri" w:cs="Calibri"/>
          <w:sz w:val="24"/>
          <w:szCs w:val="24"/>
        </w:rPr>
        <w:t xml:space="preserve">Na mocy Decyzji Komisji Nadzoru Finansowego, wydanych na podstawie art. 8 ust. 2 w związku z ust. 4 oraz ust. 6 Rozporządzenia CRR, Bank jako Uczestnik Systemu Ochrony </w:t>
      </w:r>
      <w:r w:rsidR="00644B89" w:rsidRPr="00165893">
        <w:rPr>
          <w:rFonts w:ascii="Calibri" w:hAnsi="Calibri" w:cs="Calibri"/>
          <w:sz w:val="24"/>
          <w:szCs w:val="24"/>
        </w:rPr>
        <w:t>Zrzeszenia</w:t>
      </w:r>
      <w:r w:rsidR="003F2062" w:rsidRPr="00165893">
        <w:rPr>
          <w:rFonts w:ascii="Calibri" w:hAnsi="Calibri" w:cs="Calibri"/>
          <w:sz w:val="24"/>
          <w:szCs w:val="24"/>
        </w:rPr>
        <w:t xml:space="preserve"> BPS</w:t>
      </w:r>
      <w:r w:rsidR="00644B89" w:rsidRPr="00165893">
        <w:rPr>
          <w:rFonts w:ascii="Calibri" w:hAnsi="Calibri" w:cs="Calibri"/>
          <w:sz w:val="24"/>
          <w:szCs w:val="24"/>
        </w:rPr>
        <w:t xml:space="preserve"> </w:t>
      </w:r>
      <w:r w:rsidRPr="00165893">
        <w:rPr>
          <w:rFonts w:ascii="Calibri" w:hAnsi="Calibri" w:cs="Calibri"/>
          <w:sz w:val="24"/>
          <w:szCs w:val="24"/>
        </w:rPr>
        <w:lastRenderedPageBreak/>
        <w:t>otrzymał zezwolenie na odstępstwo od stosowania wymogów dotyczących płynności na zasadzie indywidualnej w zakresie stosowania przepisów Rozporządzenia CRR dotyczących LCR oraz NSFR.</w:t>
      </w:r>
    </w:p>
    <w:p w14:paraId="1BDB9989" w14:textId="76FB0201" w:rsidR="00420D5D" w:rsidRPr="00165893" w:rsidRDefault="00420D5D" w:rsidP="00165893">
      <w:pPr>
        <w:autoSpaceDE w:val="0"/>
        <w:autoSpaceDN w:val="0"/>
        <w:adjustRightInd w:val="0"/>
        <w:spacing w:after="0" w:line="360" w:lineRule="auto"/>
        <w:jc w:val="both"/>
        <w:rPr>
          <w:rFonts w:ascii="Calibri" w:hAnsi="Calibri" w:cs="Calibri"/>
          <w:sz w:val="24"/>
          <w:szCs w:val="24"/>
        </w:rPr>
      </w:pPr>
      <w:r w:rsidRPr="00165893">
        <w:rPr>
          <w:rFonts w:ascii="Calibri" w:hAnsi="Calibri" w:cs="Calibri"/>
          <w:sz w:val="24"/>
          <w:szCs w:val="24"/>
        </w:rPr>
        <w:t xml:space="preserve">Jednocześnie </w:t>
      </w:r>
      <w:r w:rsidR="005621F0" w:rsidRPr="00165893">
        <w:rPr>
          <w:rFonts w:ascii="Calibri" w:hAnsi="Calibri" w:cs="Calibri"/>
          <w:sz w:val="24"/>
          <w:szCs w:val="24"/>
        </w:rPr>
        <w:t>BPS S.A.</w:t>
      </w:r>
      <w:r w:rsidRPr="00165893">
        <w:rPr>
          <w:rFonts w:ascii="Calibri" w:hAnsi="Calibri" w:cs="Calibri"/>
          <w:sz w:val="24"/>
          <w:szCs w:val="24"/>
        </w:rPr>
        <w:t xml:space="preserve"> jako Bank Zrzeszający, został upoważniony do stosowania wymogów w zakresie LCR i NSFR na podstawie skonsolidowanej sytuacji wszystkich banków będących Uczestnikami </w:t>
      </w:r>
      <w:r w:rsidR="005621F0" w:rsidRPr="00165893">
        <w:rPr>
          <w:rFonts w:ascii="Calibri" w:hAnsi="Calibri" w:cs="Calibri"/>
          <w:sz w:val="24"/>
          <w:szCs w:val="24"/>
        </w:rPr>
        <w:t xml:space="preserve">Spółdzielczego </w:t>
      </w:r>
      <w:r w:rsidRPr="00165893">
        <w:rPr>
          <w:rFonts w:ascii="Calibri" w:hAnsi="Calibri" w:cs="Calibri"/>
          <w:sz w:val="24"/>
          <w:szCs w:val="24"/>
        </w:rPr>
        <w:t>Systemu Ochrony</w:t>
      </w:r>
      <w:r w:rsidR="005621F0" w:rsidRPr="00165893">
        <w:rPr>
          <w:rFonts w:ascii="Calibri" w:hAnsi="Calibri" w:cs="Calibri"/>
          <w:sz w:val="24"/>
          <w:szCs w:val="24"/>
        </w:rPr>
        <w:t xml:space="preserve"> Zrzeszenia</w:t>
      </w:r>
      <w:r w:rsidR="00C544D5" w:rsidRPr="00165893">
        <w:rPr>
          <w:rFonts w:ascii="Calibri" w:hAnsi="Calibri" w:cs="Calibri"/>
          <w:sz w:val="24"/>
          <w:szCs w:val="24"/>
        </w:rPr>
        <w:t xml:space="preserve"> BPS</w:t>
      </w:r>
      <w:r w:rsidRPr="00165893">
        <w:rPr>
          <w:rFonts w:ascii="Calibri" w:hAnsi="Calibri" w:cs="Calibri"/>
          <w:sz w:val="24"/>
          <w:szCs w:val="24"/>
        </w:rPr>
        <w:t xml:space="preserve"> , które to banki otrzymały zezwolenie KNF na odstępstwo od stosowania wymogów dotyczących płynności na zasadzie indywidualnej w zakresie LCR i NSFR. </w:t>
      </w:r>
    </w:p>
    <w:p w14:paraId="4EA9450A" w14:textId="7B26E1EE" w:rsidR="00A0076D" w:rsidRPr="00165893" w:rsidRDefault="00A0076D" w:rsidP="00165893">
      <w:pPr>
        <w:pStyle w:val="Akapitzlist"/>
        <w:spacing w:after="0" w:line="360" w:lineRule="auto"/>
        <w:ind w:left="0"/>
        <w:jc w:val="both"/>
        <w:rPr>
          <w:rFonts w:ascii="Calibri" w:hAnsi="Calibri" w:cs="Calibri"/>
          <w:sz w:val="24"/>
          <w:szCs w:val="24"/>
        </w:rPr>
      </w:pPr>
      <w:r w:rsidRPr="00165893">
        <w:rPr>
          <w:rFonts w:ascii="Calibri" w:hAnsi="Calibri" w:cs="Calibri"/>
          <w:sz w:val="24"/>
          <w:szCs w:val="24"/>
        </w:rPr>
        <w:t>Na potrzeby wewnętrznego zarządzania ryzykiem płynności w Systemie Ochrony Spółdzielnia ustaliła również wewnętrzne limity w odniesieniu do miary LCR i NSFR, których Banki Uczestnicy powinny przestrzegać na bazie indywidualnej, na mocy postanowień Umowy Spółdzielczego Systemu Ochrony Zrzeszenia</w:t>
      </w:r>
      <w:r w:rsidR="00C87ADD" w:rsidRPr="00165893">
        <w:rPr>
          <w:rFonts w:ascii="Calibri" w:hAnsi="Calibri" w:cs="Calibri"/>
          <w:sz w:val="24"/>
          <w:szCs w:val="24"/>
        </w:rPr>
        <w:t xml:space="preserve"> BPS</w:t>
      </w:r>
      <w:r w:rsidRPr="00165893">
        <w:rPr>
          <w:rFonts w:ascii="Calibri" w:hAnsi="Calibri" w:cs="Calibri"/>
          <w:sz w:val="24"/>
          <w:szCs w:val="24"/>
        </w:rPr>
        <w:t xml:space="preserve"> .</w:t>
      </w:r>
    </w:p>
    <w:p w14:paraId="25276C27" w14:textId="77777777" w:rsidR="00800898" w:rsidRPr="00165893" w:rsidRDefault="00800898" w:rsidP="00165893">
      <w:pPr>
        <w:pStyle w:val="Akapitzlist"/>
        <w:spacing w:after="0" w:line="360" w:lineRule="auto"/>
        <w:ind w:left="426"/>
        <w:jc w:val="both"/>
        <w:rPr>
          <w:rFonts w:ascii="Calibri" w:hAnsi="Calibri" w:cs="Calibri"/>
          <w:sz w:val="24"/>
          <w:szCs w:val="24"/>
        </w:rPr>
      </w:pPr>
    </w:p>
    <w:p w14:paraId="2EA37270" w14:textId="793554C2" w:rsidR="00B2577E" w:rsidRPr="00165893" w:rsidRDefault="00A0076D" w:rsidP="00165893">
      <w:pPr>
        <w:pStyle w:val="Akapitzlist"/>
        <w:spacing w:after="0" w:line="360" w:lineRule="auto"/>
        <w:ind w:left="0"/>
        <w:jc w:val="both"/>
        <w:rPr>
          <w:rFonts w:ascii="Calibri" w:hAnsi="Calibri" w:cs="Calibri"/>
          <w:sz w:val="24"/>
          <w:szCs w:val="24"/>
        </w:rPr>
      </w:pPr>
      <w:r w:rsidRPr="00165893">
        <w:rPr>
          <w:rFonts w:ascii="Calibri" w:hAnsi="Calibri" w:cs="Calibri"/>
          <w:sz w:val="24"/>
          <w:szCs w:val="24"/>
        </w:rPr>
        <w:t>W poniższej tabeli przedstawiono informację o poziomie wiążących wewnętrznych miar płynności LCR i NSFR na bazie indywidualnej wg stanu na 31 grudnia 202</w:t>
      </w:r>
      <w:r w:rsidR="00C22803" w:rsidRPr="00165893">
        <w:rPr>
          <w:rFonts w:ascii="Calibri" w:hAnsi="Calibri" w:cs="Calibri"/>
          <w:sz w:val="24"/>
          <w:szCs w:val="24"/>
        </w:rPr>
        <w:t>5</w:t>
      </w:r>
      <w:r w:rsidRPr="00165893">
        <w:rPr>
          <w:rFonts w:ascii="Calibri" w:hAnsi="Calibri" w:cs="Calibri"/>
          <w:sz w:val="24"/>
          <w:szCs w:val="24"/>
        </w:rPr>
        <w:t>roku.</w:t>
      </w:r>
    </w:p>
    <w:p w14:paraId="1702E95A" w14:textId="65BEE97A" w:rsidR="0064774F" w:rsidRPr="00A87D0F" w:rsidRDefault="0064774F" w:rsidP="00825A59">
      <w:pPr>
        <w:pStyle w:val="Akapitzlist"/>
        <w:spacing w:after="0" w:line="360" w:lineRule="auto"/>
        <w:ind w:left="426"/>
        <w:rPr>
          <w:rFonts w:ascii="Times New Roman" w:hAnsi="Times New Roman" w:cs="Times New Roman"/>
          <w:color w:val="FF0000"/>
          <w:sz w:val="24"/>
          <w:szCs w:val="24"/>
        </w:rPr>
      </w:pPr>
    </w:p>
    <w:tbl>
      <w:tblPr>
        <w:tblStyle w:val="Tabela-Siatka"/>
        <w:tblW w:w="0" w:type="auto"/>
        <w:tblInd w:w="426" w:type="dxa"/>
        <w:tblLook w:val="04A0" w:firstRow="1" w:lastRow="0" w:firstColumn="1" w:lastColumn="0" w:noHBand="0" w:noVBand="1"/>
      </w:tblPr>
      <w:tblGrid>
        <w:gridCol w:w="2940"/>
        <w:gridCol w:w="2847"/>
        <w:gridCol w:w="2847"/>
      </w:tblGrid>
      <w:tr w:rsidR="00A87D0F" w:rsidRPr="00927C88" w14:paraId="7FB3FBB0" w14:textId="77777777" w:rsidTr="00B16CD5">
        <w:trPr>
          <w:trHeight w:val="438"/>
        </w:trPr>
        <w:tc>
          <w:tcPr>
            <w:tcW w:w="2940" w:type="dxa"/>
            <w:vMerge w:val="restart"/>
          </w:tcPr>
          <w:p w14:paraId="766FFFFE" w14:textId="5F366C5F" w:rsidR="0064774F" w:rsidRPr="00927C88" w:rsidRDefault="0064774F" w:rsidP="00825A59">
            <w:pPr>
              <w:pStyle w:val="Akapitzlist"/>
              <w:spacing w:line="360" w:lineRule="auto"/>
              <w:ind w:left="0"/>
              <w:jc w:val="center"/>
              <w:rPr>
                <w:rFonts w:cstheme="minorHAnsi"/>
                <w:sz w:val="24"/>
                <w:szCs w:val="24"/>
              </w:rPr>
            </w:pPr>
            <w:r w:rsidRPr="00927C88">
              <w:rPr>
                <w:rFonts w:cstheme="minorHAnsi"/>
                <w:b/>
                <w:bCs/>
                <w:sz w:val="24"/>
                <w:szCs w:val="24"/>
              </w:rPr>
              <w:t xml:space="preserve">Miara - </w:t>
            </w:r>
            <w:r w:rsidR="00C22803" w:rsidRPr="00927C88">
              <w:rPr>
                <w:rFonts w:eastAsia="Times New Roman" w:cstheme="minorHAnsi"/>
                <w:sz w:val="24"/>
                <w:szCs w:val="24"/>
              </w:rPr>
              <w:t xml:space="preserve"> limity ograniczające ryzyko w SOZ BPS</w:t>
            </w:r>
            <w:r w:rsidR="00C22803" w:rsidRPr="00927C88">
              <w:rPr>
                <w:rFonts w:cstheme="minorHAnsi"/>
                <w:sz w:val="24"/>
                <w:szCs w:val="24"/>
              </w:rPr>
              <w:t xml:space="preserve"> </w:t>
            </w:r>
          </w:p>
        </w:tc>
        <w:tc>
          <w:tcPr>
            <w:tcW w:w="5694" w:type="dxa"/>
            <w:gridSpan w:val="2"/>
          </w:tcPr>
          <w:p w14:paraId="41BCB68C" w14:textId="2BC9FFC8" w:rsidR="0064774F" w:rsidRPr="00927C88" w:rsidRDefault="0064774F" w:rsidP="00825A59">
            <w:pPr>
              <w:pStyle w:val="Default"/>
              <w:spacing w:line="360" w:lineRule="auto"/>
              <w:jc w:val="center"/>
              <w:rPr>
                <w:rFonts w:asciiTheme="minorHAnsi" w:hAnsiTheme="minorHAnsi" w:cstheme="minorHAnsi"/>
                <w:color w:val="auto"/>
              </w:rPr>
            </w:pPr>
            <w:r w:rsidRPr="00927C88">
              <w:rPr>
                <w:rFonts w:asciiTheme="minorHAnsi" w:hAnsiTheme="minorHAnsi" w:cstheme="minorHAnsi"/>
                <w:b/>
                <w:bCs/>
                <w:color w:val="auto"/>
              </w:rPr>
              <w:t>20</w:t>
            </w:r>
            <w:r w:rsidR="00C22803" w:rsidRPr="00927C88">
              <w:rPr>
                <w:rFonts w:asciiTheme="minorHAnsi" w:hAnsiTheme="minorHAnsi" w:cstheme="minorHAnsi"/>
                <w:b/>
                <w:bCs/>
                <w:color w:val="auto"/>
              </w:rPr>
              <w:t>25</w:t>
            </w:r>
            <w:r w:rsidRPr="00927C88">
              <w:rPr>
                <w:rFonts w:asciiTheme="minorHAnsi" w:hAnsiTheme="minorHAnsi" w:cstheme="minorHAnsi"/>
                <w:b/>
                <w:bCs/>
                <w:color w:val="auto"/>
              </w:rPr>
              <w:t xml:space="preserve"> ROK</w:t>
            </w:r>
          </w:p>
        </w:tc>
      </w:tr>
      <w:tr w:rsidR="00A87D0F" w:rsidRPr="00927C88" w14:paraId="5391ECFF" w14:textId="77777777" w:rsidTr="00B16CD5">
        <w:trPr>
          <w:trHeight w:val="363"/>
        </w:trPr>
        <w:tc>
          <w:tcPr>
            <w:tcW w:w="2940" w:type="dxa"/>
            <w:vMerge/>
          </w:tcPr>
          <w:p w14:paraId="36CB7F2E" w14:textId="77777777" w:rsidR="0064774F" w:rsidRPr="00927C88" w:rsidRDefault="0064774F" w:rsidP="00825A59">
            <w:pPr>
              <w:pStyle w:val="Default"/>
              <w:spacing w:line="360" w:lineRule="auto"/>
              <w:rPr>
                <w:rFonts w:asciiTheme="minorHAnsi" w:hAnsiTheme="minorHAnsi" w:cstheme="minorHAnsi"/>
                <w:b/>
                <w:bCs/>
                <w:color w:val="auto"/>
              </w:rPr>
            </w:pPr>
          </w:p>
        </w:tc>
        <w:tc>
          <w:tcPr>
            <w:tcW w:w="2847" w:type="dxa"/>
          </w:tcPr>
          <w:p w14:paraId="37DAE572" w14:textId="0D8E64E2" w:rsidR="0064774F" w:rsidRPr="00927C88" w:rsidRDefault="0064774F" w:rsidP="00825A59">
            <w:pPr>
              <w:pStyle w:val="Default"/>
              <w:spacing w:line="360" w:lineRule="auto"/>
              <w:jc w:val="center"/>
              <w:rPr>
                <w:rFonts w:asciiTheme="minorHAnsi" w:hAnsiTheme="minorHAnsi" w:cstheme="minorHAnsi"/>
                <w:color w:val="auto"/>
              </w:rPr>
            </w:pPr>
            <w:r w:rsidRPr="00927C88">
              <w:rPr>
                <w:rFonts w:asciiTheme="minorHAnsi" w:hAnsiTheme="minorHAnsi" w:cstheme="minorHAnsi"/>
                <w:b/>
                <w:bCs/>
                <w:color w:val="auto"/>
              </w:rPr>
              <w:t>Obowiązujący limit</w:t>
            </w:r>
            <w:r w:rsidR="00C6013D" w:rsidRPr="00927C88">
              <w:rPr>
                <w:rFonts w:asciiTheme="minorHAnsi" w:hAnsiTheme="minorHAnsi" w:cstheme="minorHAnsi"/>
                <w:b/>
                <w:bCs/>
                <w:color w:val="auto"/>
              </w:rPr>
              <w:t xml:space="preserve"> nadzorczy</w:t>
            </w:r>
          </w:p>
          <w:p w14:paraId="63A1292B" w14:textId="77777777" w:rsidR="0064774F" w:rsidRPr="00927C88" w:rsidRDefault="0064774F" w:rsidP="00825A59">
            <w:pPr>
              <w:pStyle w:val="Akapitzlist"/>
              <w:spacing w:line="360" w:lineRule="auto"/>
              <w:ind w:left="0"/>
              <w:jc w:val="center"/>
              <w:rPr>
                <w:rFonts w:cstheme="minorHAnsi"/>
                <w:sz w:val="24"/>
                <w:szCs w:val="24"/>
              </w:rPr>
            </w:pPr>
          </w:p>
        </w:tc>
        <w:tc>
          <w:tcPr>
            <w:tcW w:w="2847" w:type="dxa"/>
          </w:tcPr>
          <w:p w14:paraId="38B53FE5" w14:textId="6A4D8349" w:rsidR="0064774F" w:rsidRPr="00927C88" w:rsidRDefault="0064774F" w:rsidP="00825A59">
            <w:pPr>
              <w:pStyle w:val="Default"/>
              <w:spacing w:line="360" w:lineRule="auto"/>
              <w:jc w:val="center"/>
              <w:rPr>
                <w:rFonts w:asciiTheme="minorHAnsi" w:hAnsiTheme="minorHAnsi" w:cstheme="minorHAnsi"/>
                <w:color w:val="auto"/>
              </w:rPr>
            </w:pPr>
            <w:r w:rsidRPr="00927C88">
              <w:rPr>
                <w:rFonts w:asciiTheme="minorHAnsi" w:hAnsiTheme="minorHAnsi" w:cstheme="minorHAnsi"/>
                <w:b/>
                <w:bCs/>
                <w:color w:val="auto"/>
              </w:rPr>
              <w:t>Wartość</w:t>
            </w:r>
            <w:r w:rsidR="00C6013D" w:rsidRPr="00927C88">
              <w:rPr>
                <w:rFonts w:asciiTheme="minorHAnsi" w:hAnsiTheme="minorHAnsi" w:cstheme="minorHAnsi"/>
                <w:b/>
                <w:bCs/>
                <w:color w:val="auto"/>
              </w:rPr>
              <w:t xml:space="preserve"> osiągnięta przez Bank</w:t>
            </w:r>
          </w:p>
          <w:p w14:paraId="1C6115E7" w14:textId="77777777" w:rsidR="0064774F" w:rsidRPr="00927C88" w:rsidRDefault="0064774F" w:rsidP="00825A59">
            <w:pPr>
              <w:pStyle w:val="Akapitzlist"/>
              <w:spacing w:line="360" w:lineRule="auto"/>
              <w:ind w:left="0"/>
              <w:jc w:val="center"/>
              <w:rPr>
                <w:rFonts w:cstheme="minorHAnsi"/>
                <w:sz w:val="24"/>
                <w:szCs w:val="24"/>
              </w:rPr>
            </w:pPr>
          </w:p>
        </w:tc>
      </w:tr>
      <w:tr w:rsidR="00A87D0F" w:rsidRPr="00927C88" w14:paraId="725ECE3F" w14:textId="77777777" w:rsidTr="00C22803">
        <w:trPr>
          <w:trHeight w:val="487"/>
        </w:trPr>
        <w:tc>
          <w:tcPr>
            <w:tcW w:w="2940" w:type="dxa"/>
          </w:tcPr>
          <w:p w14:paraId="203DE7AD" w14:textId="70D3CAFC" w:rsidR="0064774F" w:rsidRPr="00927C88" w:rsidRDefault="0064774F" w:rsidP="00825A59">
            <w:pPr>
              <w:pStyle w:val="Default"/>
              <w:spacing w:line="360" w:lineRule="auto"/>
              <w:jc w:val="center"/>
              <w:rPr>
                <w:rFonts w:asciiTheme="minorHAnsi" w:hAnsiTheme="minorHAnsi" w:cstheme="minorHAnsi"/>
                <w:color w:val="auto"/>
              </w:rPr>
            </w:pPr>
            <w:r w:rsidRPr="00927C88">
              <w:rPr>
                <w:rFonts w:asciiTheme="minorHAnsi" w:hAnsiTheme="minorHAnsi" w:cstheme="minorHAnsi"/>
                <w:b/>
                <w:bCs/>
                <w:color w:val="auto"/>
              </w:rPr>
              <w:t>LCR - indywidualny</w:t>
            </w:r>
          </w:p>
          <w:p w14:paraId="01EDA70D" w14:textId="77777777" w:rsidR="0064774F" w:rsidRPr="00927C88" w:rsidRDefault="0064774F" w:rsidP="00825A59">
            <w:pPr>
              <w:pStyle w:val="Akapitzlist"/>
              <w:spacing w:line="360" w:lineRule="auto"/>
              <w:ind w:left="0"/>
              <w:jc w:val="center"/>
              <w:rPr>
                <w:rFonts w:cstheme="minorHAnsi"/>
                <w:sz w:val="24"/>
                <w:szCs w:val="24"/>
              </w:rPr>
            </w:pPr>
          </w:p>
        </w:tc>
        <w:tc>
          <w:tcPr>
            <w:tcW w:w="2847" w:type="dxa"/>
          </w:tcPr>
          <w:p w14:paraId="152E50FA" w14:textId="486F190F" w:rsidR="0064774F" w:rsidRPr="00927C88" w:rsidRDefault="00C22803" w:rsidP="00825A59">
            <w:pPr>
              <w:pStyle w:val="Akapitzlist"/>
              <w:spacing w:line="360" w:lineRule="auto"/>
              <w:ind w:left="0"/>
              <w:jc w:val="center"/>
              <w:rPr>
                <w:rFonts w:cstheme="minorHAnsi"/>
                <w:sz w:val="24"/>
                <w:szCs w:val="24"/>
              </w:rPr>
            </w:pPr>
            <w:r w:rsidRPr="00927C88">
              <w:rPr>
                <w:rFonts w:cstheme="minorHAnsi"/>
                <w:sz w:val="24"/>
                <w:szCs w:val="24"/>
              </w:rPr>
              <w:t>0,80</w:t>
            </w:r>
          </w:p>
        </w:tc>
        <w:tc>
          <w:tcPr>
            <w:tcW w:w="2847" w:type="dxa"/>
          </w:tcPr>
          <w:p w14:paraId="2CE54397" w14:textId="63980322" w:rsidR="0064774F" w:rsidRPr="00927C88" w:rsidRDefault="003A6A3C" w:rsidP="00825A59">
            <w:pPr>
              <w:pStyle w:val="Akapitzlist"/>
              <w:spacing w:line="360" w:lineRule="auto"/>
              <w:ind w:left="0"/>
              <w:jc w:val="center"/>
              <w:rPr>
                <w:rFonts w:cstheme="minorHAnsi"/>
                <w:sz w:val="24"/>
                <w:szCs w:val="24"/>
              </w:rPr>
            </w:pPr>
            <w:r w:rsidRPr="00927C88">
              <w:rPr>
                <w:rFonts w:cstheme="minorHAnsi"/>
                <w:sz w:val="24"/>
                <w:szCs w:val="24"/>
              </w:rPr>
              <w:t>4</w:t>
            </w:r>
            <w:r w:rsidR="00C22803" w:rsidRPr="00927C88">
              <w:rPr>
                <w:rFonts w:cstheme="minorHAnsi"/>
                <w:sz w:val="24"/>
                <w:szCs w:val="24"/>
              </w:rPr>
              <w:t>,1863</w:t>
            </w:r>
          </w:p>
        </w:tc>
      </w:tr>
      <w:tr w:rsidR="00A87D0F" w:rsidRPr="00927C88" w14:paraId="17BEC91A" w14:textId="77777777" w:rsidTr="00B16CD5">
        <w:tc>
          <w:tcPr>
            <w:tcW w:w="2940" w:type="dxa"/>
          </w:tcPr>
          <w:p w14:paraId="3A1B3149" w14:textId="194B2788" w:rsidR="0064774F" w:rsidRPr="00927C88" w:rsidRDefault="0064774F" w:rsidP="00825A59">
            <w:pPr>
              <w:pStyle w:val="Default"/>
              <w:spacing w:line="360" w:lineRule="auto"/>
              <w:jc w:val="center"/>
              <w:rPr>
                <w:rFonts w:asciiTheme="minorHAnsi" w:hAnsiTheme="minorHAnsi" w:cstheme="minorHAnsi"/>
                <w:color w:val="auto"/>
              </w:rPr>
            </w:pPr>
            <w:r w:rsidRPr="00927C88">
              <w:rPr>
                <w:rFonts w:asciiTheme="minorHAnsi" w:hAnsiTheme="minorHAnsi" w:cstheme="minorHAnsi"/>
                <w:b/>
                <w:bCs/>
                <w:color w:val="auto"/>
              </w:rPr>
              <w:t>NSFR - indywidualny</w:t>
            </w:r>
          </w:p>
          <w:p w14:paraId="403E94A9" w14:textId="77777777" w:rsidR="0064774F" w:rsidRPr="00927C88" w:rsidRDefault="0064774F" w:rsidP="00825A59">
            <w:pPr>
              <w:pStyle w:val="Akapitzlist"/>
              <w:spacing w:line="360" w:lineRule="auto"/>
              <w:ind w:left="0"/>
              <w:jc w:val="center"/>
              <w:rPr>
                <w:rFonts w:cstheme="minorHAnsi"/>
                <w:sz w:val="24"/>
                <w:szCs w:val="24"/>
              </w:rPr>
            </w:pPr>
          </w:p>
        </w:tc>
        <w:tc>
          <w:tcPr>
            <w:tcW w:w="2847" w:type="dxa"/>
          </w:tcPr>
          <w:p w14:paraId="3BD9FAC0" w14:textId="4C3061A7" w:rsidR="0064774F" w:rsidRPr="00927C88" w:rsidRDefault="00C22803" w:rsidP="00825A59">
            <w:pPr>
              <w:pStyle w:val="Akapitzlist"/>
              <w:spacing w:line="360" w:lineRule="auto"/>
              <w:ind w:left="0"/>
              <w:jc w:val="center"/>
              <w:rPr>
                <w:rFonts w:cstheme="minorHAnsi"/>
                <w:sz w:val="24"/>
                <w:szCs w:val="24"/>
              </w:rPr>
            </w:pPr>
            <w:r w:rsidRPr="00927C88">
              <w:rPr>
                <w:rFonts w:cstheme="minorHAnsi"/>
                <w:sz w:val="24"/>
                <w:szCs w:val="24"/>
              </w:rPr>
              <w:t>0,80</w:t>
            </w:r>
          </w:p>
        </w:tc>
        <w:tc>
          <w:tcPr>
            <w:tcW w:w="2847" w:type="dxa"/>
          </w:tcPr>
          <w:p w14:paraId="34756C0C" w14:textId="414296F9" w:rsidR="0064774F" w:rsidRPr="00927C88" w:rsidRDefault="00C22803" w:rsidP="00825A59">
            <w:pPr>
              <w:pStyle w:val="Akapitzlist"/>
              <w:spacing w:line="360" w:lineRule="auto"/>
              <w:ind w:left="0"/>
              <w:jc w:val="center"/>
              <w:rPr>
                <w:rFonts w:cstheme="minorHAnsi"/>
                <w:sz w:val="24"/>
                <w:szCs w:val="24"/>
              </w:rPr>
            </w:pPr>
            <w:r w:rsidRPr="00927C88">
              <w:rPr>
                <w:rFonts w:cstheme="minorHAnsi"/>
                <w:sz w:val="24"/>
                <w:szCs w:val="24"/>
              </w:rPr>
              <w:t>2,7025</w:t>
            </w:r>
          </w:p>
        </w:tc>
      </w:tr>
    </w:tbl>
    <w:p w14:paraId="6AF7F77E" w14:textId="77777777" w:rsidR="00B557A1" w:rsidRDefault="00B557A1" w:rsidP="00825A59">
      <w:pPr>
        <w:pStyle w:val="Akapitzlist"/>
        <w:spacing w:after="0" w:line="360" w:lineRule="auto"/>
        <w:ind w:left="426"/>
        <w:rPr>
          <w:rFonts w:ascii="Times New Roman" w:hAnsi="Times New Roman" w:cs="Times New Roman"/>
          <w:sz w:val="24"/>
          <w:szCs w:val="24"/>
        </w:rPr>
      </w:pPr>
    </w:p>
    <w:p w14:paraId="52D6FAE0" w14:textId="40872B44" w:rsidR="00E24329" w:rsidRPr="00927C88" w:rsidRDefault="00E24329" w:rsidP="0019554B">
      <w:pPr>
        <w:pStyle w:val="Nagwek2"/>
        <w:numPr>
          <w:ilvl w:val="0"/>
          <w:numId w:val="2"/>
        </w:numPr>
        <w:spacing w:line="360" w:lineRule="auto"/>
        <w:jc w:val="left"/>
        <w:rPr>
          <w:rFonts w:asciiTheme="minorHAnsi" w:hAnsiTheme="minorHAnsi" w:cstheme="minorHAnsi"/>
        </w:rPr>
      </w:pPr>
      <w:bookmarkStart w:id="7" w:name="_Toc170905491"/>
      <w:r w:rsidRPr="00927C88">
        <w:rPr>
          <w:rFonts w:asciiTheme="minorHAnsi" w:hAnsiTheme="minorHAnsi" w:cstheme="minorHAnsi"/>
        </w:rPr>
        <w:t>Opis systemu zarządzania, w tym systemu zarządzania ryzykiem</w:t>
      </w:r>
      <w:r w:rsidR="004E0D7F">
        <w:rPr>
          <w:rFonts w:asciiTheme="minorHAnsi" w:hAnsiTheme="minorHAnsi" w:cstheme="minorHAnsi"/>
        </w:rPr>
        <w:t xml:space="preserve"> i polityki wynagrodzeń</w:t>
      </w:r>
      <w:r w:rsidRPr="00927C88">
        <w:rPr>
          <w:rFonts w:asciiTheme="minorHAnsi" w:hAnsiTheme="minorHAnsi" w:cstheme="minorHAnsi"/>
        </w:rPr>
        <w:t>.</w:t>
      </w:r>
    </w:p>
    <w:p w14:paraId="55377916" w14:textId="7E916EE9" w:rsidR="00E24329" w:rsidRPr="00165893" w:rsidRDefault="00E24329" w:rsidP="00165893">
      <w:pPr>
        <w:spacing w:after="146" w:line="360" w:lineRule="auto"/>
        <w:jc w:val="both"/>
        <w:rPr>
          <w:rFonts w:cstheme="minorHAnsi"/>
          <w:sz w:val="24"/>
          <w:szCs w:val="24"/>
        </w:rPr>
      </w:pPr>
      <w:r w:rsidRPr="00165893">
        <w:rPr>
          <w:rFonts w:eastAsia="Times New Roman" w:cstheme="minorHAnsi"/>
          <w:sz w:val="24"/>
          <w:szCs w:val="24"/>
        </w:rPr>
        <w:t xml:space="preserve">W Banku funkcjonuje system zarządzania, stanowiący zbiór zasad i mechanizmów odnoszących się do </w:t>
      </w:r>
      <w:r w:rsidRPr="00165893">
        <w:rPr>
          <w:rFonts w:cstheme="minorHAnsi"/>
          <w:noProof/>
          <w:sz w:val="24"/>
          <w:szCs w:val="24"/>
        </w:rPr>
        <w:drawing>
          <wp:inline distT="0" distB="0" distL="0" distR="0" wp14:anchorId="55068455" wp14:editId="760F9667">
            <wp:extent cx="24375" cy="18278"/>
            <wp:effectExtent l="0" t="0" r="0" b="0"/>
            <wp:docPr id="231323" name="Picture 231323"/>
            <wp:cNvGraphicFramePr/>
            <a:graphic xmlns:a="http://schemas.openxmlformats.org/drawingml/2006/main">
              <a:graphicData uri="http://schemas.openxmlformats.org/drawingml/2006/picture">
                <pic:pic xmlns:pic="http://schemas.openxmlformats.org/drawingml/2006/picture">
                  <pic:nvPicPr>
                    <pic:cNvPr id="231323" name="Picture 231323"/>
                    <pic:cNvPicPr/>
                  </pic:nvPicPr>
                  <pic:blipFill>
                    <a:blip r:embed="rId41"/>
                    <a:stretch>
                      <a:fillRect/>
                    </a:stretch>
                  </pic:blipFill>
                  <pic:spPr>
                    <a:xfrm>
                      <a:off x="0" y="0"/>
                      <a:ext cx="24375" cy="18278"/>
                    </a:xfrm>
                    <a:prstGeom prst="rect">
                      <a:avLst/>
                    </a:prstGeom>
                  </pic:spPr>
                </pic:pic>
              </a:graphicData>
            </a:graphic>
          </wp:inline>
        </w:drawing>
      </w:r>
      <w:r w:rsidRPr="00165893">
        <w:rPr>
          <w:rFonts w:eastAsia="Times New Roman" w:cstheme="minorHAnsi"/>
          <w:sz w:val="24"/>
          <w:szCs w:val="24"/>
        </w:rPr>
        <w:t>procesów decyzyjnych, zachodzących w Banku oraz do oceny prowadzonej działalności bankowej.</w:t>
      </w:r>
    </w:p>
    <w:p w14:paraId="4C2D1F7A" w14:textId="3293A518" w:rsidR="00E24329" w:rsidRPr="00165893" w:rsidRDefault="00E24329" w:rsidP="00165893">
      <w:pPr>
        <w:spacing w:line="360" w:lineRule="auto"/>
        <w:ind w:right="14"/>
        <w:jc w:val="both"/>
        <w:rPr>
          <w:rFonts w:cstheme="minorHAnsi"/>
          <w:sz w:val="24"/>
          <w:szCs w:val="24"/>
        </w:rPr>
      </w:pPr>
      <w:r w:rsidRPr="00165893">
        <w:rPr>
          <w:rFonts w:eastAsia="Times New Roman" w:cstheme="minorHAnsi"/>
          <w:sz w:val="24"/>
          <w:szCs w:val="24"/>
        </w:rPr>
        <w:lastRenderedPageBreak/>
        <w:t xml:space="preserve">Głównym jego celem jest zapewnienie rentownego, stabilnego i bezpiecznego funkcjonowania Banku, a przez </w:t>
      </w:r>
      <w:r w:rsidRPr="00165893">
        <w:rPr>
          <w:rFonts w:cstheme="minorHAnsi"/>
          <w:noProof/>
          <w:sz w:val="24"/>
          <w:szCs w:val="24"/>
        </w:rPr>
        <w:drawing>
          <wp:inline distT="0" distB="0" distL="0" distR="0" wp14:anchorId="4F09F257" wp14:editId="4BA2D66F">
            <wp:extent cx="6094" cy="6093"/>
            <wp:effectExtent l="0" t="0" r="0" b="0"/>
            <wp:docPr id="72143" name="Picture 72143"/>
            <wp:cNvGraphicFramePr/>
            <a:graphic xmlns:a="http://schemas.openxmlformats.org/drawingml/2006/main">
              <a:graphicData uri="http://schemas.openxmlformats.org/drawingml/2006/picture">
                <pic:pic xmlns:pic="http://schemas.openxmlformats.org/drawingml/2006/picture">
                  <pic:nvPicPr>
                    <pic:cNvPr id="72143" name="Picture 72143"/>
                    <pic:cNvPicPr/>
                  </pic:nvPicPr>
                  <pic:blipFill>
                    <a:blip r:embed="rId15"/>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to zapewnienie bezpieczeństwa depozytów klientów oraz ochrona wartości kapitałów Banku.</w:t>
      </w:r>
      <w:r w:rsidRPr="00165893">
        <w:rPr>
          <w:rFonts w:cstheme="minorHAnsi"/>
          <w:noProof/>
          <w:sz w:val="24"/>
          <w:szCs w:val="24"/>
        </w:rPr>
        <w:drawing>
          <wp:inline distT="0" distB="0" distL="0" distR="0" wp14:anchorId="41095091" wp14:editId="1D64A843">
            <wp:extent cx="6093" cy="36557"/>
            <wp:effectExtent l="0" t="0" r="0" b="0"/>
            <wp:docPr id="231325" name="Picture 231325"/>
            <wp:cNvGraphicFramePr/>
            <a:graphic xmlns:a="http://schemas.openxmlformats.org/drawingml/2006/main">
              <a:graphicData uri="http://schemas.openxmlformats.org/drawingml/2006/picture">
                <pic:pic xmlns:pic="http://schemas.openxmlformats.org/drawingml/2006/picture">
                  <pic:nvPicPr>
                    <pic:cNvPr id="231325" name="Picture 231325"/>
                    <pic:cNvPicPr/>
                  </pic:nvPicPr>
                  <pic:blipFill>
                    <a:blip r:embed="rId42"/>
                    <a:stretch>
                      <a:fillRect/>
                    </a:stretch>
                  </pic:blipFill>
                  <pic:spPr>
                    <a:xfrm>
                      <a:off x="0" y="0"/>
                      <a:ext cx="6093" cy="36557"/>
                    </a:xfrm>
                    <a:prstGeom prst="rect">
                      <a:avLst/>
                    </a:prstGeom>
                  </pic:spPr>
                </pic:pic>
              </a:graphicData>
            </a:graphic>
          </wp:inline>
        </w:drawing>
      </w:r>
    </w:p>
    <w:p w14:paraId="66D14487" w14:textId="7EA4F05A" w:rsidR="00E24329" w:rsidRPr="00165893" w:rsidRDefault="00E24329" w:rsidP="00165893">
      <w:pPr>
        <w:spacing w:line="360" w:lineRule="auto"/>
        <w:jc w:val="both"/>
        <w:rPr>
          <w:rFonts w:eastAsia="Times New Roman" w:cstheme="minorHAnsi"/>
          <w:sz w:val="24"/>
          <w:szCs w:val="24"/>
        </w:rPr>
      </w:pPr>
      <w:r w:rsidRPr="00165893">
        <w:rPr>
          <w:rFonts w:eastAsia="Times New Roman" w:cstheme="minorHAnsi"/>
          <w:sz w:val="24"/>
          <w:szCs w:val="24"/>
        </w:rPr>
        <w:t>W ramach systemu zarządzania w Banku funkcjonuje w szczególności:</w:t>
      </w:r>
    </w:p>
    <w:p w14:paraId="2590B49E" w14:textId="1FAC060A" w:rsidR="00E24329" w:rsidRPr="00165893" w:rsidRDefault="00E24329" w:rsidP="00165893">
      <w:pPr>
        <w:pStyle w:val="Akapitzlist"/>
        <w:numPr>
          <w:ilvl w:val="0"/>
          <w:numId w:val="16"/>
        </w:numPr>
        <w:spacing w:line="360" w:lineRule="auto"/>
        <w:jc w:val="both"/>
        <w:rPr>
          <w:rFonts w:cstheme="minorHAnsi"/>
          <w:sz w:val="24"/>
          <w:szCs w:val="24"/>
          <w:lang w:eastAsia="zh-CN"/>
        </w:rPr>
      </w:pPr>
      <w:r w:rsidRPr="00165893">
        <w:rPr>
          <w:rFonts w:eastAsia="Times New Roman" w:cstheme="minorHAnsi"/>
          <w:sz w:val="24"/>
          <w:szCs w:val="24"/>
        </w:rPr>
        <w:t>system zarządzania ryzykiem</w:t>
      </w:r>
    </w:p>
    <w:p w14:paraId="4D67F2B7" w14:textId="1BDDED37" w:rsidR="00E24329" w:rsidRPr="00165893" w:rsidRDefault="00E24329" w:rsidP="00165893">
      <w:pPr>
        <w:pStyle w:val="Akapitzlist"/>
        <w:numPr>
          <w:ilvl w:val="0"/>
          <w:numId w:val="16"/>
        </w:numPr>
        <w:spacing w:line="360" w:lineRule="auto"/>
        <w:jc w:val="both"/>
        <w:rPr>
          <w:rFonts w:cstheme="minorHAnsi"/>
          <w:sz w:val="24"/>
          <w:szCs w:val="24"/>
          <w:lang w:eastAsia="zh-CN"/>
        </w:rPr>
      </w:pPr>
      <w:r w:rsidRPr="00165893">
        <w:rPr>
          <w:rFonts w:eastAsia="Times New Roman" w:cstheme="minorHAnsi"/>
          <w:sz w:val="24"/>
          <w:szCs w:val="24"/>
        </w:rPr>
        <w:t>system kontroli wewnętrznej.</w:t>
      </w:r>
    </w:p>
    <w:p w14:paraId="2BE21985" w14:textId="3931F63F" w:rsidR="00E24329" w:rsidRPr="00165893" w:rsidRDefault="00E24329" w:rsidP="00165893">
      <w:pPr>
        <w:spacing w:after="211" w:line="360" w:lineRule="auto"/>
        <w:ind w:left="182" w:right="96"/>
        <w:jc w:val="both"/>
        <w:rPr>
          <w:rFonts w:cstheme="minorHAnsi"/>
          <w:sz w:val="24"/>
          <w:szCs w:val="24"/>
        </w:rPr>
      </w:pPr>
      <w:r w:rsidRPr="00165893">
        <w:rPr>
          <w:rFonts w:eastAsia="Times New Roman" w:cstheme="minorHAnsi"/>
          <w:sz w:val="24"/>
          <w:szCs w:val="24"/>
        </w:rPr>
        <w:t xml:space="preserve">Bank Spółdzielczy w Żywcu dokłada wszelkich starań, w celu skutecznego zarządzania ryzykiem występującym w działalności, w szczególności poprzez opracowanie i wdrożenie adekwatnego i skutecznego </w:t>
      </w:r>
      <w:r w:rsidRPr="00165893">
        <w:rPr>
          <w:rFonts w:cstheme="minorHAnsi"/>
          <w:noProof/>
          <w:sz w:val="24"/>
          <w:szCs w:val="24"/>
        </w:rPr>
        <w:drawing>
          <wp:inline distT="0" distB="0" distL="0" distR="0" wp14:anchorId="66BBE4C8" wp14:editId="5144B63B">
            <wp:extent cx="6094" cy="42650"/>
            <wp:effectExtent l="0" t="0" r="0" b="0"/>
            <wp:docPr id="231336" name="Picture 231336"/>
            <wp:cNvGraphicFramePr/>
            <a:graphic xmlns:a="http://schemas.openxmlformats.org/drawingml/2006/main">
              <a:graphicData uri="http://schemas.openxmlformats.org/drawingml/2006/picture">
                <pic:pic xmlns:pic="http://schemas.openxmlformats.org/drawingml/2006/picture">
                  <pic:nvPicPr>
                    <pic:cNvPr id="231336" name="Picture 231336"/>
                    <pic:cNvPicPr/>
                  </pic:nvPicPr>
                  <pic:blipFill>
                    <a:blip r:embed="rId43"/>
                    <a:stretch>
                      <a:fillRect/>
                    </a:stretch>
                  </pic:blipFill>
                  <pic:spPr>
                    <a:xfrm>
                      <a:off x="0" y="0"/>
                      <a:ext cx="6094" cy="42650"/>
                    </a:xfrm>
                    <a:prstGeom prst="rect">
                      <a:avLst/>
                    </a:prstGeom>
                  </pic:spPr>
                </pic:pic>
              </a:graphicData>
            </a:graphic>
          </wp:inline>
        </w:drawing>
      </w:r>
      <w:r w:rsidRPr="00165893">
        <w:rPr>
          <w:rFonts w:eastAsia="Times New Roman" w:cstheme="minorHAnsi"/>
          <w:sz w:val="24"/>
          <w:szCs w:val="24"/>
        </w:rPr>
        <w:t>systemu zarządzania ryzykiem.</w:t>
      </w:r>
    </w:p>
    <w:p w14:paraId="1BF9C22F" w14:textId="133B9A18" w:rsidR="00E24329" w:rsidRPr="00165893" w:rsidRDefault="00E24329" w:rsidP="00165893">
      <w:pPr>
        <w:spacing w:after="171" w:line="360" w:lineRule="auto"/>
        <w:ind w:left="182" w:right="14"/>
        <w:jc w:val="both"/>
        <w:rPr>
          <w:rFonts w:cstheme="minorHAnsi"/>
          <w:sz w:val="24"/>
          <w:szCs w:val="24"/>
        </w:rPr>
      </w:pPr>
      <w:r w:rsidRPr="00165893">
        <w:rPr>
          <w:rFonts w:eastAsia="Times New Roman" w:cstheme="minorHAnsi"/>
          <w:sz w:val="24"/>
          <w:szCs w:val="24"/>
        </w:rPr>
        <w:t xml:space="preserve">Zarządzanie ryzykiem jest jednym z najważniejszych procesów wewnętrznych w Banku, ma na celu </w:t>
      </w:r>
      <w:r w:rsidRPr="00165893">
        <w:rPr>
          <w:rFonts w:cstheme="minorHAnsi"/>
          <w:noProof/>
          <w:sz w:val="24"/>
          <w:szCs w:val="24"/>
        </w:rPr>
        <w:drawing>
          <wp:inline distT="0" distB="0" distL="0" distR="0" wp14:anchorId="540FCCA6" wp14:editId="7D2AE6A0">
            <wp:extent cx="6094" cy="12185"/>
            <wp:effectExtent l="0" t="0" r="0" b="0"/>
            <wp:docPr id="75482" name="Picture 75482"/>
            <wp:cNvGraphicFramePr/>
            <a:graphic xmlns:a="http://schemas.openxmlformats.org/drawingml/2006/main">
              <a:graphicData uri="http://schemas.openxmlformats.org/drawingml/2006/picture">
                <pic:pic xmlns:pic="http://schemas.openxmlformats.org/drawingml/2006/picture">
                  <pic:nvPicPr>
                    <pic:cNvPr id="75482" name="Picture 75482"/>
                    <pic:cNvPicPr/>
                  </pic:nvPicPr>
                  <pic:blipFill>
                    <a:blip r:embed="rId44"/>
                    <a:stretch>
                      <a:fillRect/>
                    </a:stretch>
                  </pic:blipFill>
                  <pic:spPr>
                    <a:xfrm>
                      <a:off x="0" y="0"/>
                      <a:ext cx="6094" cy="12185"/>
                    </a:xfrm>
                    <a:prstGeom prst="rect">
                      <a:avLst/>
                    </a:prstGeom>
                  </pic:spPr>
                </pic:pic>
              </a:graphicData>
            </a:graphic>
          </wp:inline>
        </w:drawing>
      </w:r>
      <w:r w:rsidRPr="00165893">
        <w:rPr>
          <w:rFonts w:eastAsia="Times New Roman" w:cstheme="minorHAnsi"/>
          <w:sz w:val="24"/>
          <w:szCs w:val="24"/>
        </w:rPr>
        <w:t>uzyskanie zakładanego poziomu bezpieczeństwa oraz odpowiedniej rentowności działalności biznesowej.</w:t>
      </w:r>
      <w:r w:rsidRPr="00165893">
        <w:rPr>
          <w:rFonts w:cstheme="minorHAnsi"/>
          <w:noProof/>
          <w:sz w:val="24"/>
          <w:szCs w:val="24"/>
        </w:rPr>
        <w:drawing>
          <wp:inline distT="0" distB="0" distL="0" distR="0" wp14:anchorId="71DE7EA9" wp14:editId="7FAE0104">
            <wp:extent cx="6093" cy="6093"/>
            <wp:effectExtent l="0" t="0" r="0" b="0"/>
            <wp:docPr id="75483" name="Picture 75483"/>
            <wp:cNvGraphicFramePr/>
            <a:graphic xmlns:a="http://schemas.openxmlformats.org/drawingml/2006/main">
              <a:graphicData uri="http://schemas.openxmlformats.org/drawingml/2006/picture">
                <pic:pic xmlns:pic="http://schemas.openxmlformats.org/drawingml/2006/picture">
                  <pic:nvPicPr>
                    <pic:cNvPr id="75483" name="Picture 75483"/>
                    <pic:cNvPicPr/>
                  </pic:nvPicPr>
                  <pic:blipFill>
                    <a:blip r:embed="rId26"/>
                    <a:stretch>
                      <a:fillRect/>
                    </a:stretch>
                  </pic:blipFill>
                  <pic:spPr>
                    <a:xfrm>
                      <a:off x="0" y="0"/>
                      <a:ext cx="6093" cy="6093"/>
                    </a:xfrm>
                    <a:prstGeom prst="rect">
                      <a:avLst/>
                    </a:prstGeom>
                  </pic:spPr>
                </pic:pic>
              </a:graphicData>
            </a:graphic>
          </wp:inline>
        </w:drawing>
      </w:r>
    </w:p>
    <w:p w14:paraId="579B47C2" w14:textId="77777777" w:rsidR="00E24329" w:rsidRPr="00165893" w:rsidRDefault="00E24329" w:rsidP="00165893">
      <w:pPr>
        <w:spacing w:after="56" w:line="360" w:lineRule="auto"/>
        <w:ind w:left="182" w:right="14"/>
        <w:jc w:val="both"/>
        <w:rPr>
          <w:rFonts w:cstheme="minorHAnsi"/>
          <w:sz w:val="24"/>
          <w:szCs w:val="24"/>
        </w:rPr>
      </w:pPr>
      <w:r w:rsidRPr="00165893">
        <w:rPr>
          <w:rFonts w:eastAsia="Times New Roman" w:cstheme="minorHAnsi"/>
          <w:sz w:val="24"/>
          <w:szCs w:val="24"/>
        </w:rPr>
        <w:t>W celu zapewnienia skutecznego i ostrożnego zarządzania Bankiem Zarząd:</w:t>
      </w:r>
    </w:p>
    <w:p w14:paraId="7B1CD0A3" w14:textId="6B3BAF48" w:rsidR="00E24329" w:rsidRPr="00165893" w:rsidRDefault="00E24329" w:rsidP="00165893">
      <w:pPr>
        <w:pStyle w:val="Akapitzlist"/>
        <w:numPr>
          <w:ilvl w:val="0"/>
          <w:numId w:val="18"/>
        </w:numPr>
        <w:spacing w:after="40" w:line="360" w:lineRule="auto"/>
        <w:ind w:right="134"/>
        <w:jc w:val="both"/>
        <w:rPr>
          <w:rFonts w:cstheme="minorHAnsi"/>
          <w:sz w:val="24"/>
          <w:szCs w:val="24"/>
        </w:rPr>
      </w:pPr>
      <w:r w:rsidRPr="00165893">
        <w:rPr>
          <w:rFonts w:eastAsia="Times New Roman" w:cstheme="minorHAnsi"/>
          <w:sz w:val="24"/>
          <w:szCs w:val="24"/>
        </w:rPr>
        <w:t>opracowuje i wdraża odpowiednie systemy zarządzania ryzykiem, obejmujące strukturę organizacyjną, narzędzia wspomagające zarządzanie ryzykiem, system informacji zarządczej, a także odpowiednie zarządzanie kadrami;</w:t>
      </w:r>
    </w:p>
    <w:p w14:paraId="1E23BED2" w14:textId="4272D3BD" w:rsidR="00E24329" w:rsidRPr="00165893" w:rsidRDefault="00E24329" w:rsidP="00165893">
      <w:pPr>
        <w:pStyle w:val="Akapitzlist"/>
        <w:numPr>
          <w:ilvl w:val="0"/>
          <w:numId w:val="18"/>
        </w:numPr>
        <w:spacing w:after="40" w:line="360" w:lineRule="auto"/>
        <w:ind w:right="134"/>
        <w:jc w:val="both"/>
        <w:rPr>
          <w:rFonts w:cstheme="minorHAnsi"/>
          <w:sz w:val="24"/>
          <w:szCs w:val="24"/>
        </w:rPr>
      </w:pPr>
      <w:r w:rsidRPr="00165893">
        <w:rPr>
          <w:rFonts w:eastAsia="Times New Roman" w:cstheme="minorHAnsi"/>
          <w:sz w:val="24"/>
          <w:szCs w:val="24"/>
        </w:rPr>
        <w:t>kształtuje i dba o odpowiednią kulturę organizacyjną zorientowaną na efektywne zarządzanie ryzykiem (kultura ryzyka);</w:t>
      </w:r>
    </w:p>
    <w:p w14:paraId="59F02D44" w14:textId="2A8A73C5" w:rsidR="00A808A0" w:rsidRPr="00165893" w:rsidRDefault="00A808A0" w:rsidP="00165893">
      <w:pPr>
        <w:pStyle w:val="Akapitzlist"/>
        <w:numPr>
          <w:ilvl w:val="0"/>
          <w:numId w:val="18"/>
        </w:numPr>
        <w:spacing w:after="40" w:line="360" w:lineRule="auto"/>
        <w:ind w:right="134"/>
        <w:jc w:val="both"/>
        <w:rPr>
          <w:rFonts w:cstheme="minorHAnsi"/>
          <w:sz w:val="24"/>
          <w:szCs w:val="24"/>
        </w:rPr>
      </w:pPr>
      <w:r w:rsidRPr="00165893">
        <w:rPr>
          <w:rFonts w:eastAsia="Times New Roman" w:cstheme="minorHAnsi"/>
          <w:sz w:val="24"/>
          <w:szCs w:val="24"/>
        </w:rPr>
        <w:t>opracowuje i wdraża formalnie przyjęty proces identyfikacji, pomiaru, limitowania, raportowania i kontroli podejmowanego ryzyka, realizowany na podstawie przyjętych przez Zarząd:</w:t>
      </w:r>
    </w:p>
    <w:p w14:paraId="6B78FCB7" w14:textId="69B4B62C" w:rsidR="00E24329" w:rsidRPr="006A08C4" w:rsidRDefault="00E24329" w:rsidP="00165893">
      <w:pPr>
        <w:pStyle w:val="Akapitzlist"/>
        <w:numPr>
          <w:ilvl w:val="0"/>
          <w:numId w:val="24"/>
        </w:numPr>
        <w:spacing w:after="135" w:line="360" w:lineRule="auto"/>
        <w:ind w:right="14"/>
        <w:jc w:val="both"/>
        <w:rPr>
          <w:rFonts w:cstheme="minorHAnsi"/>
          <w:sz w:val="24"/>
          <w:szCs w:val="24"/>
        </w:rPr>
      </w:pPr>
      <w:r w:rsidRPr="00165893">
        <w:rPr>
          <w:rFonts w:eastAsia="Times New Roman" w:cstheme="minorHAnsi"/>
          <w:sz w:val="24"/>
          <w:szCs w:val="24"/>
        </w:rPr>
        <w:t>strategii zarządzania ryzykiem,</w:t>
      </w:r>
    </w:p>
    <w:p w14:paraId="02159CE3" w14:textId="481B749A" w:rsidR="006A08C4" w:rsidRPr="00165893" w:rsidRDefault="006A08C4" w:rsidP="006A08C4">
      <w:pPr>
        <w:pStyle w:val="Akapitzlist"/>
        <w:numPr>
          <w:ilvl w:val="0"/>
          <w:numId w:val="24"/>
        </w:numPr>
        <w:spacing w:after="135" w:line="360" w:lineRule="auto"/>
        <w:ind w:right="14"/>
        <w:jc w:val="both"/>
        <w:rPr>
          <w:rFonts w:cstheme="minorHAnsi"/>
          <w:sz w:val="24"/>
          <w:szCs w:val="24"/>
        </w:rPr>
      </w:pPr>
      <w:r w:rsidRPr="00165893">
        <w:rPr>
          <w:rFonts w:eastAsia="Times New Roman" w:cstheme="minorHAnsi"/>
          <w:sz w:val="24"/>
          <w:szCs w:val="24"/>
        </w:rPr>
        <w:t>polityk i procedur dotyczących identyfikacji, oceny (pomiaru lub szacowania), kontroli i monitorowania ryzyka oraz raportowania o ryzyku, opracowanych w formie pisem</w:t>
      </w:r>
      <w:r>
        <w:rPr>
          <w:rFonts w:eastAsia="Times New Roman" w:cstheme="minorHAnsi"/>
          <w:sz w:val="24"/>
          <w:szCs w:val="24"/>
        </w:rPr>
        <w:t>nej.</w:t>
      </w:r>
    </w:p>
    <w:p w14:paraId="2EA37D72" w14:textId="482FE65D" w:rsidR="00E24329" w:rsidRPr="00165893" w:rsidRDefault="00E24329" w:rsidP="00165893">
      <w:pPr>
        <w:spacing w:after="302" w:line="360" w:lineRule="auto"/>
        <w:ind w:left="96" w:right="163"/>
        <w:jc w:val="both"/>
        <w:rPr>
          <w:rFonts w:cstheme="minorHAnsi"/>
          <w:sz w:val="24"/>
          <w:szCs w:val="24"/>
        </w:rPr>
      </w:pPr>
      <w:r w:rsidRPr="00165893">
        <w:rPr>
          <w:rFonts w:cstheme="minorHAnsi"/>
          <w:noProof/>
          <w:sz w:val="24"/>
          <w:szCs w:val="24"/>
        </w:rPr>
        <w:drawing>
          <wp:inline distT="0" distB="0" distL="0" distR="0" wp14:anchorId="5169FEBF" wp14:editId="6A5ECECF">
            <wp:extent cx="6094" cy="12186"/>
            <wp:effectExtent l="0" t="0" r="0" b="0"/>
            <wp:docPr id="75484" name="Picture 75484"/>
            <wp:cNvGraphicFramePr/>
            <a:graphic xmlns:a="http://schemas.openxmlformats.org/drawingml/2006/main">
              <a:graphicData uri="http://schemas.openxmlformats.org/drawingml/2006/picture">
                <pic:pic xmlns:pic="http://schemas.openxmlformats.org/drawingml/2006/picture">
                  <pic:nvPicPr>
                    <pic:cNvPr id="75484" name="Picture 75484"/>
                    <pic:cNvPicPr/>
                  </pic:nvPicPr>
                  <pic:blipFill>
                    <a:blip r:embed="rId45"/>
                    <a:stretch>
                      <a:fillRect/>
                    </a:stretch>
                  </pic:blipFill>
                  <pic:spPr>
                    <a:xfrm>
                      <a:off x="0" y="0"/>
                      <a:ext cx="6094" cy="12186"/>
                    </a:xfrm>
                    <a:prstGeom prst="rect">
                      <a:avLst/>
                    </a:prstGeom>
                  </pic:spPr>
                </pic:pic>
              </a:graphicData>
            </a:graphic>
          </wp:inline>
        </w:drawing>
      </w:r>
      <w:r w:rsidRPr="00165893">
        <w:rPr>
          <w:rFonts w:eastAsia="Times New Roman" w:cstheme="minorHAnsi"/>
          <w:sz w:val="24"/>
          <w:szCs w:val="24"/>
        </w:rPr>
        <w:t xml:space="preserve">System zarządzania ryzykiem w Banku dostosowany jest do profilu, skali i złożoności ryzyka oraz podlega bieżącemu dostosowywaniu do nowych czynników i źródeł ryzyka. Wewnętrzne procedury, limity oraz metody identyfikacji i pomiaru ryzyka, </w:t>
      </w:r>
      <w:r w:rsidR="00F40733">
        <w:rPr>
          <w:rFonts w:eastAsia="Times New Roman" w:cstheme="minorHAnsi"/>
          <w:sz w:val="24"/>
          <w:szCs w:val="24"/>
        </w:rPr>
        <w:t>w</w:t>
      </w:r>
      <w:r w:rsidRPr="00165893">
        <w:rPr>
          <w:rFonts w:eastAsia="Times New Roman" w:cstheme="minorHAnsi"/>
          <w:sz w:val="24"/>
          <w:szCs w:val="24"/>
        </w:rPr>
        <w:t xml:space="preserve"> tym założenia testów warunków skrajnych, podlegają weryfikacji w celu dostosowania ich d</w:t>
      </w:r>
      <w:r w:rsidR="00A808A0" w:rsidRPr="00165893">
        <w:rPr>
          <w:rFonts w:eastAsia="Times New Roman" w:cstheme="minorHAnsi"/>
          <w:sz w:val="24"/>
          <w:szCs w:val="24"/>
        </w:rPr>
        <w:t>o</w:t>
      </w:r>
      <w:r w:rsidRPr="00165893">
        <w:rPr>
          <w:rFonts w:eastAsia="Times New Roman" w:cstheme="minorHAnsi"/>
          <w:sz w:val="24"/>
          <w:szCs w:val="24"/>
        </w:rPr>
        <w:t xml:space="preserve"> przepisów </w:t>
      </w:r>
      <w:r w:rsidRPr="00165893">
        <w:rPr>
          <w:rFonts w:eastAsia="Times New Roman" w:cstheme="minorHAnsi"/>
          <w:sz w:val="24"/>
          <w:szCs w:val="24"/>
        </w:rPr>
        <w:lastRenderedPageBreak/>
        <w:t>prawa</w:t>
      </w:r>
      <w:r w:rsidR="00A808A0" w:rsidRPr="00165893">
        <w:rPr>
          <w:rFonts w:eastAsia="Times New Roman" w:cstheme="minorHAnsi"/>
          <w:sz w:val="24"/>
          <w:szCs w:val="24"/>
        </w:rPr>
        <w:t xml:space="preserve"> </w:t>
      </w:r>
      <w:r w:rsidRPr="00165893">
        <w:rPr>
          <w:rFonts w:eastAsia="Times New Roman" w:cstheme="minorHAnsi"/>
          <w:sz w:val="24"/>
          <w:szCs w:val="24"/>
        </w:rPr>
        <w:t>i standardów rynkowych, potrzeb Banku, w tym</w:t>
      </w:r>
      <w:r w:rsidR="00A808A0" w:rsidRPr="00165893">
        <w:rPr>
          <w:rFonts w:eastAsia="Times New Roman" w:cstheme="minorHAnsi"/>
          <w:sz w:val="24"/>
          <w:szCs w:val="24"/>
        </w:rPr>
        <w:t xml:space="preserve"> </w:t>
      </w:r>
      <w:r w:rsidRPr="00165893">
        <w:rPr>
          <w:rFonts w:eastAsia="Times New Roman" w:cstheme="minorHAnsi"/>
          <w:sz w:val="24"/>
          <w:szCs w:val="24"/>
        </w:rPr>
        <w:t xml:space="preserve">zmian wielkości </w:t>
      </w:r>
      <w:r w:rsidRPr="00165893">
        <w:rPr>
          <w:rFonts w:cstheme="minorHAnsi"/>
          <w:noProof/>
          <w:sz w:val="24"/>
          <w:szCs w:val="24"/>
        </w:rPr>
        <w:drawing>
          <wp:inline distT="0" distB="0" distL="0" distR="0" wp14:anchorId="5230CAD7" wp14:editId="34E28CAC">
            <wp:extent cx="6094" cy="6093"/>
            <wp:effectExtent l="0" t="0" r="0" b="0"/>
            <wp:docPr id="75485" name="Picture 75485"/>
            <wp:cNvGraphicFramePr/>
            <a:graphic xmlns:a="http://schemas.openxmlformats.org/drawingml/2006/main">
              <a:graphicData uri="http://schemas.openxmlformats.org/drawingml/2006/picture">
                <pic:pic xmlns:pic="http://schemas.openxmlformats.org/drawingml/2006/picture">
                  <pic:nvPicPr>
                    <pic:cNvPr id="75485" name="Picture 75485"/>
                    <pic:cNvPicPr/>
                  </pic:nvPicPr>
                  <pic:blipFill>
                    <a:blip r:embed="rId20"/>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i profilu ryzyka Banku oraz otoczenia gospodarczego, w którym Bank działa.</w:t>
      </w:r>
      <w:r w:rsidRPr="00165893">
        <w:rPr>
          <w:rFonts w:cstheme="minorHAnsi"/>
          <w:noProof/>
          <w:sz w:val="24"/>
          <w:szCs w:val="24"/>
        </w:rPr>
        <w:drawing>
          <wp:inline distT="0" distB="0" distL="0" distR="0" wp14:anchorId="723B71E8" wp14:editId="6D8DBFCC">
            <wp:extent cx="6094" cy="6093"/>
            <wp:effectExtent l="0" t="0" r="0" b="0"/>
            <wp:docPr id="75486" name="Picture 75486"/>
            <wp:cNvGraphicFramePr/>
            <a:graphic xmlns:a="http://schemas.openxmlformats.org/drawingml/2006/main">
              <a:graphicData uri="http://schemas.openxmlformats.org/drawingml/2006/picture">
                <pic:pic xmlns:pic="http://schemas.openxmlformats.org/drawingml/2006/picture">
                  <pic:nvPicPr>
                    <pic:cNvPr id="75486" name="Picture 75486"/>
                    <pic:cNvPicPr/>
                  </pic:nvPicPr>
                  <pic:blipFill>
                    <a:blip r:embed="rId15"/>
                    <a:stretch>
                      <a:fillRect/>
                    </a:stretch>
                  </pic:blipFill>
                  <pic:spPr>
                    <a:xfrm>
                      <a:off x="0" y="0"/>
                      <a:ext cx="6094" cy="6093"/>
                    </a:xfrm>
                    <a:prstGeom prst="rect">
                      <a:avLst/>
                    </a:prstGeom>
                  </pic:spPr>
                </pic:pic>
              </a:graphicData>
            </a:graphic>
          </wp:inline>
        </w:drawing>
      </w:r>
    </w:p>
    <w:p w14:paraId="5110533B" w14:textId="481CB9BF" w:rsidR="00E24329" w:rsidRPr="00165893" w:rsidRDefault="00E24329" w:rsidP="00165893">
      <w:pPr>
        <w:spacing w:after="218" w:line="360" w:lineRule="auto"/>
        <w:ind w:left="96" w:right="182"/>
        <w:jc w:val="both"/>
        <w:rPr>
          <w:rFonts w:cstheme="minorHAnsi"/>
          <w:sz w:val="24"/>
          <w:szCs w:val="24"/>
        </w:rPr>
      </w:pPr>
      <w:r w:rsidRPr="00165893">
        <w:rPr>
          <w:rFonts w:eastAsia="Times New Roman" w:cstheme="minorHAnsi"/>
          <w:sz w:val="24"/>
          <w:szCs w:val="24"/>
        </w:rPr>
        <w:t>Prawidłowa i spójna kultura ryzyka jest kluczowym elementem skutecznego zarządzania ryzykiem, Zar</w:t>
      </w:r>
      <w:r w:rsidR="00A808A0" w:rsidRPr="00165893">
        <w:rPr>
          <w:rFonts w:eastAsia="Times New Roman" w:cstheme="minorHAnsi"/>
          <w:sz w:val="24"/>
          <w:szCs w:val="24"/>
        </w:rPr>
        <w:t>z</w:t>
      </w:r>
      <w:r w:rsidRPr="00165893">
        <w:rPr>
          <w:rFonts w:eastAsia="Times New Roman" w:cstheme="minorHAnsi"/>
          <w:sz w:val="24"/>
          <w:szCs w:val="24"/>
        </w:rPr>
        <w:t xml:space="preserve">ąd rozwija kulturę ryzyka poprzez odpowiednie regulaminy i procedury określające m.in. pożądane postawy w tym zakresie, odpowiednie przykłady, systemy motywacyjne o charakterze nie tylko finansowym, jak również </w:t>
      </w:r>
      <w:r w:rsidRPr="00165893">
        <w:rPr>
          <w:rFonts w:cstheme="minorHAnsi"/>
          <w:noProof/>
          <w:sz w:val="24"/>
          <w:szCs w:val="24"/>
        </w:rPr>
        <w:drawing>
          <wp:inline distT="0" distB="0" distL="0" distR="0" wp14:anchorId="7203F250" wp14:editId="1C73D4FC">
            <wp:extent cx="6094" cy="6093"/>
            <wp:effectExtent l="0" t="0" r="0" b="0"/>
            <wp:docPr id="75487" name="Picture 75487"/>
            <wp:cNvGraphicFramePr/>
            <a:graphic xmlns:a="http://schemas.openxmlformats.org/drawingml/2006/main">
              <a:graphicData uri="http://schemas.openxmlformats.org/drawingml/2006/picture">
                <pic:pic xmlns:pic="http://schemas.openxmlformats.org/drawingml/2006/picture">
                  <pic:nvPicPr>
                    <pic:cNvPr id="75487" name="Picture 75487"/>
                    <pic:cNvPicPr/>
                  </pic:nvPicPr>
                  <pic:blipFill>
                    <a:blip r:embed="rId16"/>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sposoby komunikacji i szkolenia pracowników w zakresie ich obowiązków związanych z ryzykiem Banku.</w:t>
      </w:r>
    </w:p>
    <w:p w14:paraId="7A55EFF2" w14:textId="77777777" w:rsidR="00E24329" w:rsidRPr="00165893" w:rsidRDefault="00E24329" w:rsidP="00165893">
      <w:pPr>
        <w:spacing w:after="197" w:line="360" w:lineRule="auto"/>
        <w:ind w:right="192"/>
        <w:jc w:val="both"/>
        <w:rPr>
          <w:rFonts w:cstheme="minorHAnsi"/>
          <w:sz w:val="24"/>
          <w:szCs w:val="24"/>
        </w:rPr>
      </w:pPr>
      <w:r w:rsidRPr="00165893">
        <w:rPr>
          <w:rFonts w:eastAsia="Times New Roman" w:cstheme="minorHAnsi"/>
          <w:sz w:val="24"/>
          <w:szCs w:val="24"/>
        </w:rPr>
        <w:t xml:space="preserve">Zadaniem systemu zarządzania ryzykiem jest identyfikacja, pomiar łub szacowanie, kontrola oraz monitorowanie i raportowanie ryzyka występującego w działalności Banku, służące zapewnieniu </w:t>
      </w:r>
      <w:r w:rsidRPr="00165893">
        <w:rPr>
          <w:rFonts w:cstheme="minorHAnsi"/>
          <w:noProof/>
          <w:sz w:val="24"/>
          <w:szCs w:val="24"/>
        </w:rPr>
        <w:drawing>
          <wp:inline distT="0" distB="0" distL="0" distR="0" wp14:anchorId="22BE8D02" wp14:editId="033447D1">
            <wp:extent cx="12188" cy="48743"/>
            <wp:effectExtent l="0" t="0" r="0" b="0"/>
            <wp:docPr id="231338" name="Picture 231338"/>
            <wp:cNvGraphicFramePr/>
            <a:graphic xmlns:a="http://schemas.openxmlformats.org/drawingml/2006/main">
              <a:graphicData uri="http://schemas.openxmlformats.org/drawingml/2006/picture">
                <pic:pic xmlns:pic="http://schemas.openxmlformats.org/drawingml/2006/picture">
                  <pic:nvPicPr>
                    <pic:cNvPr id="231338" name="Picture 231338"/>
                    <pic:cNvPicPr/>
                  </pic:nvPicPr>
                  <pic:blipFill>
                    <a:blip r:embed="rId46"/>
                    <a:stretch>
                      <a:fillRect/>
                    </a:stretch>
                  </pic:blipFill>
                  <pic:spPr>
                    <a:xfrm>
                      <a:off x="0" y="0"/>
                      <a:ext cx="12188" cy="48743"/>
                    </a:xfrm>
                    <a:prstGeom prst="rect">
                      <a:avLst/>
                    </a:prstGeom>
                  </pic:spPr>
                </pic:pic>
              </a:graphicData>
            </a:graphic>
          </wp:inline>
        </w:drawing>
      </w:r>
      <w:r w:rsidRPr="00165893">
        <w:rPr>
          <w:rFonts w:eastAsia="Times New Roman" w:cstheme="minorHAnsi"/>
          <w:sz w:val="24"/>
          <w:szCs w:val="24"/>
        </w:rPr>
        <w:t>prawidłowości procesu wyznaczania i realizacji szczegółowych celów prowadzonej przez Bank działalności.</w:t>
      </w:r>
      <w:r w:rsidRPr="00165893">
        <w:rPr>
          <w:rFonts w:cstheme="minorHAnsi"/>
          <w:noProof/>
          <w:sz w:val="24"/>
          <w:szCs w:val="24"/>
        </w:rPr>
        <w:drawing>
          <wp:inline distT="0" distB="0" distL="0" distR="0" wp14:anchorId="07B3D859" wp14:editId="197F8363">
            <wp:extent cx="12188" cy="36557"/>
            <wp:effectExtent l="0" t="0" r="0" b="0"/>
            <wp:docPr id="231340" name="Picture 231340"/>
            <wp:cNvGraphicFramePr/>
            <a:graphic xmlns:a="http://schemas.openxmlformats.org/drawingml/2006/main">
              <a:graphicData uri="http://schemas.openxmlformats.org/drawingml/2006/picture">
                <pic:pic xmlns:pic="http://schemas.openxmlformats.org/drawingml/2006/picture">
                  <pic:nvPicPr>
                    <pic:cNvPr id="231340" name="Picture 231340"/>
                    <pic:cNvPicPr/>
                  </pic:nvPicPr>
                  <pic:blipFill>
                    <a:blip r:embed="rId47"/>
                    <a:stretch>
                      <a:fillRect/>
                    </a:stretch>
                  </pic:blipFill>
                  <pic:spPr>
                    <a:xfrm>
                      <a:off x="0" y="0"/>
                      <a:ext cx="12188" cy="36557"/>
                    </a:xfrm>
                    <a:prstGeom prst="rect">
                      <a:avLst/>
                    </a:prstGeom>
                  </pic:spPr>
                </pic:pic>
              </a:graphicData>
            </a:graphic>
          </wp:inline>
        </w:drawing>
      </w:r>
    </w:p>
    <w:p w14:paraId="4DE31E3C" w14:textId="77777777" w:rsidR="00E24329" w:rsidRPr="00165893" w:rsidRDefault="00E24329" w:rsidP="00165893">
      <w:pPr>
        <w:spacing w:after="171" w:line="360" w:lineRule="auto"/>
        <w:ind w:right="14"/>
        <w:jc w:val="both"/>
        <w:rPr>
          <w:rFonts w:cstheme="minorHAnsi"/>
          <w:sz w:val="24"/>
          <w:szCs w:val="24"/>
        </w:rPr>
      </w:pPr>
      <w:r w:rsidRPr="00165893">
        <w:rPr>
          <w:rFonts w:eastAsia="Times New Roman" w:cstheme="minorHAnsi"/>
          <w:sz w:val="24"/>
          <w:szCs w:val="24"/>
        </w:rPr>
        <w:t>Proces zarządzania ryzykiem w Banku obejmuje następujące działania:</w:t>
      </w:r>
      <w:r w:rsidRPr="00165893">
        <w:rPr>
          <w:rFonts w:cstheme="minorHAnsi"/>
          <w:noProof/>
          <w:sz w:val="24"/>
          <w:szCs w:val="24"/>
        </w:rPr>
        <w:drawing>
          <wp:inline distT="0" distB="0" distL="0" distR="0" wp14:anchorId="4BE02826" wp14:editId="7171176D">
            <wp:extent cx="6094" cy="6093"/>
            <wp:effectExtent l="0" t="0" r="0" b="0"/>
            <wp:docPr id="75492" name="Picture 75492"/>
            <wp:cNvGraphicFramePr/>
            <a:graphic xmlns:a="http://schemas.openxmlformats.org/drawingml/2006/main">
              <a:graphicData uri="http://schemas.openxmlformats.org/drawingml/2006/picture">
                <pic:pic xmlns:pic="http://schemas.openxmlformats.org/drawingml/2006/picture">
                  <pic:nvPicPr>
                    <pic:cNvPr id="75492" name="Picture 75492"/>
                    <pic:cNvPicPr/>
                  </pic:nvPicPr>
                  <pic:blipFill>
                    <a:blip r:embed="rId11"/>
                    <a:stretch>
                      <a:fillRect/>
                    </a:stretch>
                  </pic:blipFill>
                  <pic:spPr>
                    <a:xfrm>
                      <a:off x="0" y="0"/>
                      <a:ext cx="6094" cy="6093"/>
                    </a:xfrm>
                    <a:prstGeom prst="rect">
                      <a:avLst/>
                    </a:prstGeom>
                  </pic:spPr>
                </pic:pic>
              </a:graphicData>
            </a:graphic>
          </wp:inline>
        </w:drawing>
      </w:r>
    </w:p>
    <w:p w14:paraId="1BE046B6" w14:textId="0686A701" w:rsidR="00E24329" w:rsidRPr="00165893" w:rsidRDefault="00E24329" w:rsidP="00165893">
      <w:pPr>
        <w:pStyle w:val="Akapitzlist"/>
        <w:numPr>
          <w:ilvl w:val="0"/>
          <w:numId w:val="19"/>
        </w:numPr>
        <w:spacing w:line="360" w:lineRule="auto"/>
        <w:jc w:val="both"/>
        <w:rPr>
          <w:rFonts w:cstheme="minorHAnsi"/>
          <w:sz w:val="24"/>
          <w:szCs w:val="24"/>
          <w:lang w:eastAsia="zh-CN"/>
        </w:rPr>
      </w:pPr>
      <w:r w:rsidRPr="00165893">
        <w:rPr>
          <w:rFonts w:eastAsia="Times New Roman" w:cstheme="minorHAnsi"/>
          <w:sz w:val="24"/>
          <w:szCs w:val="24"/>
        </w:rPr>
        <w:t>identyfikacja ryzyka — polega na rozpoznaniu aktualnych i potencjalnych źródeł zagrożeń związanych z ryzykiem oraz oszacowaniu wielkości potencjalnego wpływu danego rodzaju ryzyka na</w:t>
      </w:r>
      <w:r w:rsidR="00A808A0" w:rsidRPr="00165893">
        <w:rPr>
          <w:rFonts w:eastAsia="Times New Roman" w:cstheme="minorHAnsi"/>
          <w:sz w:val="24"/>
          <w:szCs w:val="24"/>
        </w:rPr>
        <w:t xml:space="preserve"> uznawane  za istotne w działalności Banku, a także sporządza się prognozy i plany uwzględniające </w:t>
      </w:r>
      <w:r w:rsidR="00A808A0" w:rsidRPr="00165893">
        <w:rPr>
          <w:rFonts w:cstheme="minorHAnsi"/>
          <w:noProof/>
          <w:sz w:val="24"/>
          <w:szCs w:val="24"/>
        </w:rPr>
        <w:drawing>
          <wp:inline distT="0" distB="0" distL="0" distR="0" wp14:anchorId="48026EEB" wp14:editId="2065F6BA">
            <wp:extent cx="6094" cy="48743"/>
            <wp:effectExtent l="0" t="0" r="0" b="0"/>
            <wp:docPr id="231356" name="Picture 231356"/>
            <wp:cNvGraphicFramePr/>
            <a:graphic xmlns:a="http://schemas.openxmlformats.org/drawingml/2006/main">
              <a:graphicData uri="http://schemas.openxmlformats.org/drawingml/2006/picture">
                <pic:pic xmlns:pic="http://schemas.openxmlformats.org/drawingml/2006/picture">
                  <pic:nvPicPr>
                    <pic:cNvPr id="231356" name="Picture 231356"/>
                    <pic:cNvPicPr/>
                  </pic:nvPicPr>
                  <pic:blipFill>
                    <a:blip r:embed="rId48"/>
                    <a:stretch>
                      <a:fillRect/>
                    </a:stretch>
                  </pic:blipFill>
                  <pic:spPr>
                    <a:xfrm>
                      <a:off x="0" y="0"/>
                      <a:ext cx="6094" cy="48743"/>
                    </a:xfrm>
                    <a:prstGeom prst="rect">
                      <a:avLst/>
                    </a:prstGeom>
                  </pic:spPr>
                </pic:pic>
              </a:graphicData>
            </a:graphic>
          </wp:inline>
        </w:drawing>
      </w:r>
      <w:r w:rsidR="00A808A0" w:rsidRPr="00165893">
        <w:rPr>
          <w:rFonts w:cstheme="minorHAnsi"/>
          <w:noProof/>
          <w:sz w:val="24"/>
          <w:szCs w:val="24"/>
        </w:rPr>
        <w:drawing>
          <wp:inline distT="0" distB="0" distL="0" distR="0" wp14:anchorId="02B710BF" wp14:editId="440A1454">
            <wp:extent cx="6094" cy="30464"/>
            <wp:effectExtent l="0" t="0" r="0" b="0"/>
            <wp:docPr id="231358" name="Picture 231358"/>
            <wp:cNvGraphicFramePr/>
            <a:graphic xmlns:a="http://schemas.openxmlformats.org/drawingml/2006/main">
              <a:graphicData uri="http://schemas.openxmlformats.org/drawingml/2006/picture">
                <pic:pic xmlns:pic="http://schemas.openxmlformats.org/drawingml/2006/picture">
                  <pic:nvPicPr>
                    <pic:cNvPr id="231358" name="Picture 231358"/>
                    <pic:cNvPicPr/>
                  </pic:nvPicPr>
                  <pic:blipFill>
                    <a:blip r:embed="rId49"/>
                    <a:stretch>
                      <a:fillRect/>
                    </a:stretch>
                  </pic:blipFill>
                  <pic:spPr>
                    <a:xfrm>
                      <a:off x="0" y="0"/>
                      <a:ext cx="6094" cy="30464"/>
                    </a:xfrm>
                    <a:prstGeom prst="rect">
                      <a:avLst/>
                    </a:prstGeom>
                  </pic:spPr>
                </pic:pic>
              </a:graphicData>
            </a:graphic>
          </wp:inline>
        </w:drawing>
      </w:r>
      <w:r w:rsidR="00A808A0" w:rsidRPr="00165893">
        <w:rPr>
          <w:rFonts w:eastAsia="Times New Roman" w:cstheme="minorHAnsi"/>
          <w:sz w:val="24"/>
          <w:szCs w:val="24"/>
        </w:rPr>
        <w:t>przewidywany poziom ryzyka,</w:t>
      </w:r>
    </w:p>
    <w:p w14:paraId="34F2D0A9" w14:textId="5DA420BF" w:rsidR="00A808A0" w:rsidRPr="00165893" w:rsidRDefault="00A808A0" w:rsidP="00165893">
      <w:pPr>
        <w:pStyle w:val="Akapitzlist"/>
        <w:numPr>
          <w:ilvl w:val="0"/>
          <w:numId w:val="19"/>
        </w:numPr>
        <w:spacing w:line="360" w:lineRule="auto"/>
        <w:jc w:val="both"/>
        <w:rPr>
          <w:rFonts w:cstheme="minorHAnsi"/>
          <w:sz w:val="24"/>
          <w:szCs w:val="24"/>
          <w:lang w:eastAsia="zh-CN"/>
        </w:rPr>
      </w:pPr>
      <w:r w:rsidRPr="00165893">
        <w:rPr>
          <w:rFonts w:eastAsia="Times New Roman" w:cstheme="minorHAnsi"/>
          <w:sz w:val="24"/>
          <w:szCs w:val="24"/>
        </w:rPr>
        <w:t>pomiar ryzyka —  obejmuje definiowanie miar ryzyka adekwatnych d</w:t>
      </w:r>
      <w:r w:rsidR="00123F09" w:rsidRPr="00165893">
        <w:rPr>
          <w:rFonts w:eastAsia="Times New Roman" w:cstheme="minorHAnsi"/>
          <w:sz w:val="24"/>
          <w:szCs w:val="24"/>
        </w:rPr>
        <w:t>o</w:t>
      </w:r>
      <w:r w:rsidRPr="00165893">
        <w:rPr>
          <w:rFonts w:eastAsia="Times New Roman" w:cstheme="minorHAnsi"/>
          <w:sz w:val="24"/>
          <w:szCs w:val="24"/>
        </w:rPr>
        <w:t xml:space="preserve"> rodzaju, </w:t>
      </w:r>
      <w:r w:rsidRPr="00165893">
        <w:rPr>
          <w:rFonts w:cstheme="minorHAnsi"/>
          <w:noProof/>
          <w:sz w:val="24"/>
          <w:szCs w:val="24"/>
        </w:rPr>
        <w:drawing>
          <wp:inline distT="0" distB="0" distL="0" distR="0" wp14:anchorId="261C5F53" wp14:editId="2981AF19">
            <wp:extent cx="6094" cy="6093"/>
            <wp:effectExtent l="0" t="0" r="0" b="0"/>
            <wp:docPr id="78859" name="Picture 78859"/>
            <wp:cNvGraphicFramePr/>
            <a:graphic xmlns:a="http://schemas.openxmlformats.org/drawingml/2006/main">
              <a:graphicData uri="http://schemas.openxmlformats.org/drawingml/2006/picture">
                <pic:pic xmlns:pic="http://schemas.openxmlformats.org/drawingml/2006/picture">
                  <pic:nvPicPr>
                    <pic:cNvPr id="78859" name="Picture 78859"/>
                    <pic:cNvPicPr/>
                  </pic:nvPicPr>
                  <pic:blipFill>
                    <a:blip r:embed="rId38"/>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 xml:space="preserve">istotności ryzyka i dostępności danych oraz dokonania kwantyfikacji ryzyka za pomocą ustalonych </w:t>
      </w:r>
      <w:r w:rsidRPr="00165893">
        <w:rPr>
          <w:rFonts w:cstheme="minorHAnsi"/>
          <w:noProof/>
          <w:sz w:val="24"/>
          <w:szCs w:val="24"/>
        </w:rPr>
        <w:drawing>
          <wp:inline distT="0" distB="0" distL="0" distR="0" wp14:anchorId="6F27118B" wp14:editId="48D8FBEE">
            <wp:extent cx="12188" cy="54835"/>
            <wp:effectExtent l="0" t="0" r="0" b="0"/>
            <wp:docPr id="231360" name="Picture 231360"/>
            <wp:cNvGraphicFramePr/>
            <a:graphic xmlns:a="http://schemas.openxmlformats.org/drawingml/2006/main">
              <a:graphicData uri="http://schemas.openxmlformats.org/drawingml/2006/picture">
                <pic:pic xmlns:pic="http://schemas.openxmlformats.org/drawingml/2006/picture">
                  <pic:nvPicPr>
                    <pic:cNvPr id="231360" name="Picture 231360"/>
                    <pic:cNvPicPr/>
                  </pic:nvPicPr>
                  <pic:blipFill>
                    <a:blip r:embed="rId50"/>
                    <a:stretch>
                      <a:fillRect/>
                    </a:stretch>
                  </pic:blipFill>
                  <pic:spPr>
                    <a:xfrm>
                      <a:off x="0" y="0"/>
                      <a:ext cx="12188" cy="54835"/>
                    </a:xfrm>
                    <a:prstGeom prst="rect">
                      <a:avLst/>
                    </a:prstGeom>
                  </pic:spPr>
                </pic:pic>
              </a:graphicData>
            </a:graphic>
          </wp:inline>
        </w:drawing>
      </w:r>
      <w:r w:rsidRPr="00165893">
        <w:rPr>
          <w:rFonts w:eastAsia="Times New Roman" w:cstheme="minorHAnsi"/>
          <w:sz w:val="24"/>
          <w:szCs w:val="24"/>
        </w:rPr>
        <w:t>miar,</w:t>
      </w:r>
    </w:p>
    <w:p w14:paraId="20A1753E" w14:textId="27D58466" w:rsidR="00A808A0" w:rsidRPr="00165893" w:rsidRDefault="00A808A0" w:rsidP="00165893">
      <w:pPr>
        <w:pStyle w:val="Akapitzlist"/>
        <w:numPr>
          <w:ilvl w:val="0"/>
          <w:numId w:val="19"/>
        </w:numPr>
        <w:spacing w:line="360" w:lineRule="auto"/>
        <w:jc w:val="both"/>
        <w:rPr>
          <w:rFonts w:cstheme="minorHAnsi"/>
          <w:sz w:val="24"/>
          <w:szCs w:val="24"/>
          <w:lang w:eastAsia="zh-CN"/>
        </w:rPr>
      </w:pPr>
      <w:r w:rsidRPr="00165893">
        <w:rPr>
          <w:rFonts w:eastAsia="Times New Roman" w:cstheme="minorHAnsi"/>
          <w:sz w:val="24"/>
          <w:szCs w:val="24"/>
        </w:rPr>
        <w:t xml:space="preserve">ocena/szacowanie ryzyka - polega na określeniu siły wpływu lub zakresu ryzyka z punktu widzenia </w:t>
      </w:r>
      <w:r w:rsidRPr="00165893">
        <w:rPr>
          <w:rFonts w:cstheme="minorHAnsi"/>
          <w:noProof/>
          <w:sz w:val="24"/>
          <w:szCs w:val="24"/>
        </w:rPr>
        <w:drawing>
          <wp:inline distT="0" distB="0" distL="0" distR="0" wp14:anchorId="6F71ADF6" wp14:editId="772B9E4A">
            <wp:extent cx="18282" cy="30464"/>
            <wp:effectExtent l="0" t="0" r="0" b="0"/>
            <wp:docPr id="231362" name="Picture 231362"/>
            <wp:cNvGraphicFramePr/>
            <a:graphic xmlns:a="http://schemas.openxmlformats.org/drawingml/2006/main">
              <a:graphicData uri="http://schemas.openxmlformats.org/drawingml/2006/picture">
                <pic:pic xmlns:pic="http://schemas.openxmlformats.org/drawingml/2006/picture">
                  <pic:nvPicPr>
                    <pic:cNvPr id="231362" name="Picture 231362"/>
                    <pic:cNvPicPr/>
                  </pic:nvPicPr>
                  <pic:blipFill>
                    <a:blip r:embed="rId51"/>
                    <a:stretch>
                      <a:fillRect/>
                    </a:stretch>
                  </pic:blipFill>
                  <pic:spPr>
                    <a:xfrm>
                      <a:off x="0" y="0"/>
                      <a:ext cx="18282" cy="30464"/>
                    </a:xfrm>
                    <a:prstGeom prst="rect">
                      <a:avLst/>
                    </a:prstGeom>
                  </pic:spPr>
                </pic:pic>
              </a:graphicData>
            </a:graphic>
          </wp:inline>
        </w:drawing>
      </w:r>
      <w:r w:rsidRPr="00165893">
        <w:rPr>
          <w:rFonts w:cstheme="minorHAnsi"/>
          <w:noProof/>
          <w:sz w:val="24"/>
          <w:szCs w:val="24"/>
        </w:rPr>
        <w:drawing>
          <wp:inline distT="0" distB="0" distL="0" distR="0" wp14:anchorId="5F647AB0" wp14:editId="2CC38AE1">
            <wp:extent cx="12188" cy="36557"/>
            <wp:effectExtent l="0" t="0" r="0" b="0"/>
            <wp:docPr id="231364" name="Picture 231364"/>
            <wp:cNvGraphicFramePr/>
            <a:graphic xmlns:a="http://schemas.openxmlformats.org/drawingml/2006/main">
              <a:graphicData uri="http://schemas.openxmlformats.org/drawingml/2006/picture">
                <pic:pic xmlns:pic="http://schemas.openxmlformats.org/drawingml/2006/picture">
                  <pic:nvPicPr>
                    <pic:cNvPr id="231364" name="Picture 231364"/>
                    <pic:cNvPicPr/>
                  </pic:nvPicPr>
                  <pic:blipFill>
                    <a:blip r:embed="rId52"/>
                    <a:stretch>
                      <a:fillRect/>
                    </a:stretch>
                  </pic:blipFill>
                  <pic:spPr>
                    <a:xfrm>
                      <a:off x="0" y="0"/>
                      <a:ext cx="12188" cy="36557"/>
                    </a:xfrm>
                    <a:prstGeom prst="rect">
                      <a:avLst/>
                    </a:prstGeom>
                  </pic:spPr>
                </pic:pic>
              </a:graphicData>
            </a:graphic>
          </wp:inline>
        </w:drawing>
      </w:r>
      <w:r w:rsidRPr="00165893">
        <w:rPr>
          <w:rFonts w:eastAsia="Times New Roman" w:cstheme="minorHAnsi"/>
          <w:sz w:val="24"/>
          <w:szCs w:val="24"/>
        </w:rPr>
        <w:t xml:space="preserve">realizacji celów zarządzania ryzykiem, w ramach pomiaru ryzyka przeprowadza się testy warunków </w:t>
      </w:r>
      <w:r w:rsidRPr="00165893">
        <w:rPr>
          <w:rFonts w:cstheme="minorHAnsi"/>
          <w:noProof/>
          <w:sz w:val="24"/>
          <w:szCs w:val="24"/>
        </w:rPr>
        <w:drawing>
          <wp:inline distT="0" distB="0" distL="0" distR="0" wp14:anchorId="64B3A484" wp14:editId="5ABB406E">
            <wp:extent cx="12188" cy="6093"/>
            <wp:effectExtent l="0" t="0" r="0" b="0"/>
            <wp:docPr id="78866" name="Picture 78866"/>
            <wp:cNvGraphicFramePr/>
            <a:graphic xmlns:a="http://schemas.openxmlformats.org/drawingml/2006/main">
              <a:graphicData uri="http://schemas.openxmlformats.org/drawingml/2006/picture">
                <pic:pic xmlns:pic="http://schemas.openxmlformats.org/drawingml/2006/picture">
                  <pic:nvPicPr>
                    <pic:cNvPr id="78866" name="Picture 78866"/>
                    <pic:cNvPicPr/>
                  </pic:nvPicPr>
                  <pic:blipFill>
                    <a:blip r:embed="rId53"/>
                    <a:stretch>
                      <a:fillRect/>
                    </a:stretch>
                  </pic:blipFill>
                  <pic:spPr>
                    <a:xfrm>
                      <a:off x="0" y="0"/>
                      <a:ext cx="12188" cy="6093"/>
                    </a:xfrm>
                    <a:prstGeom prst="rect">
                      <a:avLst/>
                    </a:prstGeom>
                  </pic:spPr>
                </pic:pic>
              </a:graphicData>
            </a:graphic>
          </wp:inline>
        </w:drawing>
      </w:r>
      <w:r w:rsidRPr="00165893">
        <w:rPr>
          <w:rFonts w:cstheme="minorHAnsi"/>
          <w:noProof/>
          <w:sz w:val="24"/>
          <w:szCs w:val="24"/>
        </w:rPr>
        <w:drawing>
          <wp:inline distT="0" distB="0" distL="0" distR="0" wp14:anchorId="5CA3AC0D" wp14:editId="0E0C64BD">
            <wp:extent cx="6094" cy="97485"/>
            <wp:effectExtent l="0" t="0" r="0" b="0"/>
            <wp:docPr id="231366" name="Picture 231366"/>
            <wp:cNvGraphicFramePr/>
            <a:graphic xmlns:a="http://schemas.openxmlformats.org/drawingml/2006/main">
              <a:graphicData uri="http://schemas.openxmlformats.org/drawingml/2006/picture">
                <pic:pic xmlns:pic="http://schemas.openxmlformats.org/drawingml/2006/picture">
                  <pic:nvPicPr>
                    <pic:cNvPr id="231366" name="Picture 231366"/>
                    <pic:cNvPicPr/>
                  </pic:nvPicPr>
                  <pic:blipFill>
                    <a:blip r:embed="rId54"/>
                    <a:stretch>
                      <a:fillRect/>
                    </a:stretch>
                  </pic:blipFill>
                  <pic:spPr>
                    <a:xfrm>
                      <a:off x="0" y="0"/>
                      <a:ext cx="6094" cy="97485"/>
                    </a:xfrm>
                    <a:prstGeom prst="rect">
                      <a:avLst/>
                    </a:prstGeom>
                  </pic:spPr>
                </pic:pic>
              </a:graphicData>
            </a:graphic>
          </wp:inline>
        </w:drawing>
      </w:r>
      <w:r w:rsidRPr="00165893">
        <w:rPr>
          <w:rFonts w:eastAsia="Times New Roman" w:cstheme="minorHAnsi"/>
          <w:sz w:val="24"/>
          <w:szCs w:val="24"/>
        </w:rPr>
        <w:t>skrajnych na podstawie założeń zapewniających rzetelną ocenę ryzyka,</w:t>
      </w:r>
    </w:p>
    <w:p w14:paraId="046159D4" w14:textId="2E3C26E1" w:rsidR="00A808A0" w:rsidRPr="00165893" w:rsidRDefault="00A808A0" w:rsidP="00165893">
      <w:pPr>
        <w:pStyle w:val="Akapitzlist"/>
        <w:numPr>
          <w:ilvl w:val="0"/>
          <w:numId w:val="19"/>
        </w:numPr>
        <w:spacing w:line="360" w:lineRule="auto"/>
        <w:jc w:val="both"/>
        <w:rPr>
          <w:rFonts w:cstheme="minorHAnsi"/>
          <w:sz w:val="24"/>
          <w:szCs w:val="24"/>
          <w:lang w:eastAsia="zh-CN"/>
        </w:rPr>
      </w:pPr>
      <w:r w:rsidRPr="00165893">
        <w:rPr>
          <w:rFonts w:eastAsia="Times New Roman" w:cstheme="minorHAnsi"/>
          <w:sz w:val="24"/>
          <w:szCs w:val="24"/>
        </w:rPr>
        <w:t xml:space="preserve">monitorowanie ryzyka — polega na monitorowaniu odchyleń realizacji od prognoz lub założonych </w:t>
      </w:r>
      <w:r w:rsidRPr="00165893">
        <w:rPr>
          <w:rFonts w:cstheme="minorHAnsi"/>
          <w:noProof/>
          <w:sz w:val="24"/>
          <w:szCs w:val="24"/>
        </w:rPr>
        <w:drawing>
          <wp:inline distT="0" distB="0" distL="0" distR="0" wp14:anchorId="635A5B08" wp14:editId="1C632377">
            <wp:extent cx="6094" cy="6093"/>
            <wp:effectExtent l="0" t="0" r="0" b="0"/>
            <wp:docPr id="78872" name="Picture 78872"/>
            <wp:cNvGraphicFramePr/>
            <a:graphic xmlns:a="http://schemas.openxmlformats.org/drawingml/2006/main">
              <a:graphicData uri="http://schemas.openxmlformats.org/drawingml/2006/picture">
                <pic:pic xmlns:pic="http://schemas.openxmlformats.org/drawingml/2006/picture">
                  <pic:nvPicPr>
                    <pic:cNvPr id="78872" name="Picture 78872"/>
                    <pic:cNvPicPr/>
                  </pic:nvPicPr>
                  <pic:blipFill>
                    <a:blip r:embed="rId55"/>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punktów odniesienia (</w:t>
      </w:r>
      <w:r w:rsidR="00123F09" w:rsidRPr="00165893">
        <w:rPr>
          <w:rFonts w:eastAsia="Times New Roman" w:cstheme="minorHAnsi"/>
          <w:sz w:val="24"/>
          <w:szCs w:val="24"/>
        </w:rPr>
        <w:t>np.:</w:t>
      </w:r>
      <w:r w:rsidRPr="00165893">
        <w:rPr>
          <w:rFonts w:eastAsia="Times New Roman" w:cstheme="minorHAnsi"/>
          <w:sz w:val="24"/>
          <w:szCs w:val="24"/>
        </w:rPr>
        <w:t xml:space="preserve"> limitów, wartości progowych, planów, pomiarów z poprzedniego okresu, wydanych rekomendacji i zaleceń). Monitorowanie ryzyka odbywa się z częstotliwością adekwatną do istotności danego rodzaju ryzyka oraz jego zmienności,</w:t>
      </w:r>
    </w:p>
    <w:p w14:paraId="54FD6F59" w14:textId="52871907" w:rsidR="00A808A0" w:rsidRPr="00165893" w:rsidRDefault="00A808A0" w:rsidP="00165893">
      <w:pPr>
        <w:pStyle w:val="Akapitzlist"/>
        <w:numPr>
          <w:ilvl w:val="0"/>
          <w:numId w:val="19"/>
        </w:numPr>
        <w:spacing w:line="360" w:lineRule="auto"/>
        <w:jc w:val="both"/>
        <w:rPr>
          <w:rFonts w:cstheme="minorHAnsi"/>
          <w:sz w:val="24"/>
          <w:szCs w:val="24"/>
          <w:lang w:eastAsia="zh-CN"/>
        </w:rPr>
      </w:pPr>
      <w:r w:rsidRPr="00165893">
        <w:rPr>
          <w:rFonts w:eastAsia="Times New Roman" w:cstheme="minorHAnsi"/>
          <w:sz w:val="24"/>
          <w:szCs w:val="24"/>
        </w:rPr>
        <w:t xml:space="preserve">raportowanie ryzyka — polegające na cyklicznym informowaniu organów Banku o wynikach pomiaru ryzyka, podjętych działaniach i rekomendacjach działań, Zakres, </w:t>
      </w:r>
      <w:r w:rsidRPr="00165893">
        <w:rPr>
          <w:rFonts w:eastAsia="Times New Roman" w:cstheme="minorHAnsi"/>
          <w:sz w:val="24"/>
          <w:szCs w:val="24"/>
        </w:rPr>
        <w:lastRenderedPageBreak/>
        <w:t>częstotliwość oraz forma raportowania są dostosowane do szczebla zarządczego odbiorców,</w:t>
      </w:r>
    </w:p>
    <w:p w14:paraId="329C9034" w14:textId="7497F41E" w:rsidR="00A808A0" w:rsidRPr="00165893" w:rsidRDefault="00A808A0" w:rsidP="00165893">
      <w:pPr>
        <w:pStyle w:val="Akapitzlist"/>
        <w:numPr>
          <w:ilvl w:val="0"/>
          <w:numId w:val="19"/>
        </w:numPr>
        <w:spacing w:line="360" w:lineRule="auto"/>
        <w:jc w:val="both"/>
        <w:rPr>
          <w:rFonts w:cstheme="minorHAnsi"/>
          <w:sz w:val="24"/>
          <w:szCs w:val="24"/>
          <w:lang w:eastAsia="zh-CN"/>
        </w:rPr>
      </w:pPr>
      <w:r w:rsidRPr="00165893">
        <w:rPr>
          <w:rFonts w:eastAsia="Times New Roman" w:cstheme="minorHAnsi"/>
          <w:sz w:val="24"/>
          <w:szCs w:val="24"/>
        </w:rPr>
        <w:t xml:space="preserve">stosowanie mechanizmów kontrolujących i ograniczających ryzyko - zidentyfikowany, zmierzony lub oszacowany poziom ryzyka - polega </w:t>
      </w:r>
      <w:r w:rsidR="0081612A">
        <w:rPr>
          <w:rFonts w:eastAsia="Times New Roman" w:cstheme="minorHAnsi"/>
          <w:sz w:val="24"/>
          <w:szCs w:val="24"/>
        </w:rPr>
        <w:t xml:space="preserve">w </w:t>
      </w:r>
      <w:r w:rsidRPr="00165893">
        <w:rPr>
          <w:rFonts w:eastAsia="Times New Roman" w:cstheme="minorHAnsi"/>
          <w:sz w:val="24"/>
          <w:szCs w:val="24"/>
        </w:rPr>
        <w:t>szczególności na przyjmowaniu regulacji wewnętrznych, określaniu poziomu tolerancji na ryzyko</w:t>
      </w:r>
      <w:r w:rsidR="0081612A">
        <w:rPr>
          <w:rFonts w:eastAsia="Times New Roman" w:cstheme="minorHAnsi"/>
          <w:sz w:val="24"/>
          <w:szCs w:val="24"/>
        </w:rPr>
        <w:t>,</w:t>
      </w:r>
      <w:r w:rsidRPr="00165893">
        <w:rPr>
          <w:rFonts w:eastAsia="Times New Roman" w:cstheme="minorHAnsi"/>
          <w:sz w:val="24"/>
          <w:szCs w:val="24"/>
        </w:rPr>
        <w:t xml:space="preserve"> ustalaniu wysokości limitów i wartości progowych, wydawaniu zaleceń, podejmowaniu decyzji o wykorzystywaniu narzędzi wspierających zarządzanie ryzykiem</w:t>
      </w:r>
      <w:r w:rsidR="0081612A">
        <w:rPr>
          <w:rFonts w:eastAsia="Times New Roman" w:cstheme="minorHAnsi"/>
          <w:sz w:val="24"/>
          <w:szCs w:val="24"/>
        </w:rPr>
        <w:t>.</w:t>
      </w:r>
    </w:p>
    <w:p w14:paraId="18A0612D" w14:textId="08C80679" w:rsidR="00E24329" w:rsidRPr="00165893" w:rsidRDefault="00A808A0" w:rsidP="00165893">
      <w:pPr>
        <w:spacing w:line="360" w:lineRule="auto"/>
        <w:jc w:val="both"/>
        <w:rPr>
          <w:rFonts w:cstheme="minorHAnsi"/>
          <w:sz w:val="24"/>
          <w:szCs w:val="24"/>
          <w:lang w:eastAsia="zh-CN"/>
        </w:rPr>
      </w:pPr>
      <w:r w:rsidRPr="00165893">
        <w:rPr>
          <w:rFonts w:eastAsia="Times New Roman" w:cstheme="minorHAnsi"/>
          <w:sz w:val="24"/>
          <w:szCs w:val="24"/>
        </w:rPr>
        <w:t>Bank identyfikuje istotność ryzyka metodą osądu eksperckiego na podstawie historycznej oceny wielkości ryzyka mierzonej wymogami kapitałowymi (czynniki ilościowe)</w:t>
      </w:r>
      <w:r w:rsidR="004D6237">
        <w:rPr>
          <w:rFonts w:eastAsia="Times New Roman" w:cstheme="minorHAnsi"/>
          <w:sz w:val="24"/>
          <w:szCs w:val="24"/>
        </w:rPr>
        <w:t>.</w:t>
      </w:r>
      <w:r w:rsidRPr="00165893">
        <w:rPr>
          <w:rFonts w:eastAsia="Times New Roman" w:cstheme="minorHAnsi"/>
          <w:sz w:val="24"/>
          <w:szCs w:val="24"/>
        </w:rPr>
        <w:t xml:space="preserve"> W tym kapitałem wewnętrznym, a także z </w:t>
      </w:r>
      <w:r w:rsidRPr="00165893">
        <w:rPr>
          <w:rFonts w:cstheme="minorHAnsi"/>
          <w:noProof/>
          <w:sz w:val="24"/>
          <w:szCs w:val="24"/>
        </w:rPr>
        <w:drawing>
          <wp:inline distT="0" distB="0" distL="0" distR="0" wp14:anchorId="3CEEF406" wp14:editId="36147088">
            <wp:extent cx="6093" cy="42650"/>
            <wp:effectExtent l="0" t="0" r="0" b="0"/>
            <wp:docPr id="231372" name="Picture 231372"/>
            <wp:cNvGraphicFramePr/>
            <a:graphic xmlns:a="http://schemas.openxmlformats.org/drawingml/2006/main">
              <a:graphicData uri="http://schemas.openxmlformats.org/drawingml/2006/picture">
                <pic:pic xmlns:pic="http://schemas.openxmlformats.org/drawingml/2006/picture">
                  <pic:nvPicPr>
                    <pic:cNvPr id="231372" name="Picture 231372"/>
                    <pic:cNvPicPr/>
                  </pic:nvPicPr>
                  <pic:blipFill>
                    <a:blip r:embed="rId56"/>
                    <a:stretch>
                      <a:fillRect/>
                    </a:stretch>
                  </pic:blipFill>
                  <pic:spPr>
                    <a:xfrm>
                      <a:off x="0" y="0"/>
                      <a:ext cx="6093" cy="42650"/>
                    </a:xfrm>
                    <a:prstGeom prst="rect">
                      <a:avLst/>
                    </a:prstGeom>
                  </pic:spPr>
                </pic:pic>
              </a:graphicData>
            </a:graphic>
          </wp:inline>
        </w:drawing>
      </w:r>
      <w:r w:rsidRPr="00165893">
        <w:rPr>
          <w:rFonts w:eastAsia="Times New Roman" w:cstheme="minorHAnsi"/>
          <w:sz w:val="24"/>
          <w:szCs w:val="24"/>
        </w:rPr>
        <w:t xml:space="preserve">uwzględnieniem kryteriów jakościowych, biorąc pod uwagę możliwość wzrostu ryzyka. </w:t>
      </w:r>
    </w:p>
    <w:p w14:paraId="74C195D3" w14:textId="4BCB108F" w:rsidR="00E24329" w:rsidRPr="00165893" w:rsidRDefault="00E871CA" w:rsidP="00165893">
      <w:pPr>
        <w:spacing w:line="360" w:lineRule="auto"/>
        <w:jc w:val="both"/>
        <w:rPr>
          <w:rFonts w:eastAsia="Times New Roman" w:cstheme="minorHAnsi"/>
          <w:sz w:val="24"/>
          <w:szCs w:val="24"/>
        </w:rPr>
      </w:pPr>
      <w:r w:rsidRPr="00165893">
        <w:rPr>
          <w:rFonts w:eastAsia="Times New Roman" w:cstheme="minorHAnsi"/>
          <w:sz w:val="24"/>
          <w:szCs w:val="24"/>
        </w:rPr>
        <w:t xml:space="preserve">Bank dokonuje ponadto identyfikacji istotności innych rodzajów ryzyka towarzyszącego jego działalności, </w:t>
      </w:r>
      <w:r w:rsidRPr="00165893">
        <w:rPr>
          <w:rFonts w:cstheme="minorHAnsi"/>
          <w:noProof/>
          <w:sz w:val="24"/>
          <w:szCs w:val="24"/>
        </w:rPr>
        <w:drawing>
          <wp:inline distT="0" distB="0" distL="0" distR="0" wp14:anchorId="42987F96" wp14:editId="6F63705C">
            <wp:extent cx="6093" cy="48742"/>
            <wp:effectExtent l="0" t="0" r="0" b="0"/>
            <wp:docPr id="231380" name="Picture 231380"/>
            <wp:cNvGraphicFramePr/>
            <a:graphic xmlns:a="http://schemas.openxmlformats.org/drawingml/2006/main">
              <a:graphicData uri="http://schemas.openxmlformats.org/drawingml/2006/picture">
                <pic:pic xmlns:pic="http://schemas.openxmlformats.org/drawingml/2006/picture">
                  <pic:nvPicPr>
                    <pic:cNvPr id="231380" name="Picture 231380"/>
                    <pic:cNvPicPr/>
                  </pic:nvPicPr>
                  <pic:blipFill>
                    <a:blip r:embed="rId57"/>
                    <a:stretch>
                      <a:fillRect/>
                    </a:stretch>
                  </pic:blipFill>
                  <pic:spPr>
                    <a:xfrm>
                      <a:off x="0" y="0"/>
                      <a:ext cx="6093" cy="48742"/>
                    </a:xfrm>
                    <a:prstGeom prst="rect">
                      <a:avLst/>
                    </a:prstGeom>
                  </pic:spPr>
                </pic:pic>
              </a:graphicData>
            </a:graphic>
          </wp:inline>
        </w:drawing>
      </w:r>
      <w:r w:rsidRPr="00165893">
        <w:rPr>
          <w:rFonts w:eastAsia="Times New Roman" w:cstheme="minorHAnsi"/>
          <w:sz w:val="24"/>
          <w:szCs w:val="24"/>
        </w:rPr>
        <w:t xml:space="preserve">jest to dokonywane w ramach procesu o charakterze ciągłym. W przypadku zidentyfikowanego nowego </w:t>
      </w:r>
      <w:r w:rsidRPr="00165893">
        <w:rPr>
          <w:rFonts w:cstheme="minorHAnsi"/>
          <w:noProof/>
          <w:sz w:val="24"/>
          <w:szCs w:val="24"/>
        </w:rPr>
        <w:drawing>
          <wp:inline distT="0" distB="0" distL="0" distR="0" wp14:anchorId="54DA7594" wp14:editId="5BDD87DB">
            <wp:extent cx="6093" cy="12185"/>
            <wp:effectExtent l="0" t="0" r="0" b="0"/>
            <wp:docPr id="78888" name="Picture 78888"/>
            <wp:cNvGraphicFramePr/>
            <a:graphic xmlns:a="http://schemas.openxmlformats.org/drawingml/2006/main">
              <a:graphicData uri="http://schemas.openxmlformats.org/drawingml/2006/picture">
                <pic:pic xmlns:pic="http://schemas.openxmlformats.org/drawingml/2006/picture">
                  <pic:nvPicPr>
                    <pic:cNvPr id="78888" name="Picture 78888"/>
                    <pic:cNvPicPr/>
                  </pic:nvPicPr>
                  <pic:blipFill>
                    <a:blip r:embed="rId58"/>
                    <a:stretch>
                      <a:fillRect/>
                    </a:stretch>
                  </pic:blipFill>
                  <pic:spPr>
                    <a:xfrm>
                      <a:off x="0" y="0"/>
                      <a:ext cx="6093" cy="12185"/>
                    </a:xfrm>
                    <a:prstGeom prst="rect">
                      <a:avLst/>
                    </a:prstGeom>
                  </pic:spPr>
                </pic:pic>
              </a:graphicData>
            </a:graphic>
          </wp:inline>
        </w:drawing>
      </w:r>
      <w:r w:rsidRPr="00165893">
        <w:rPr>
          <w:rFonts w:eastAsia="Times New Roman" w:cstheme="minorHAnsi"/>
          <w:sz w:val="24"/>
          <w:szCs w:val="24"/>
        </w:rPr>
        <w:t>rodzaju ryzyka Bank, przyjmuje procedury wyznaczania wewnętrznego wymogu kapitałowego dla danego ryzyka w ramach Instrukcji wyznaczania wewnętrznego wymogu kapitałowego w Banku Spółdzielczym w Żywcu.</w:t>
      </w:r>
    </w:p>
    <w:p w14:paraId="34C715D9" w14:textId="4F08F775" w:rsidR="00E505E2" w:rsidRPr="00165893" w:rsidRDefault="00E505E2" w:rsidP="00165893">
      <w:pPr>
        <w:spacing w:line="360" w:lineRule="auto"/>
        <w:jc w:val="both"/>
        <w:rPr>
          <w:rFonts w:eastAsia="Times New Roman" w:cstheme="minorHAnsi"/>
          <w:sz w:val="24"/>
          <w:szCs w:val="24"/>
        </w:rPr>
      </w:pPr>
      <w:r w:rsidRPr="00165893">
        <w:rPr>
          <w:rFonts w:eastAsia="Times New Roman" w:cstheme="minorHAnsi"/>
          <w:sz w:val="24"/>
          <w:szCs w:val="24"/>
        </w:rPr>
        <w:t>Limity wewnętrzne uwzględniają specyfikę i skalę prowadzonej przez Bank działalności, częstotliwość występowania sytuacji obciążonych ryzykiem, są mierzalne, możliwe do raportowania oraz bazują na założeniach uwzględniających podejście perspektywiczne. Wysokości limitów wewnętrznych ustalane są na podstawie analiz i sporządzane w formie pisemnej. Dla każdego istotnego ryzyka jest ustanawiany strategiczny limit na poziomie Banku.</w:t>
      </w:r>
    </w:p>
    <w:p w14:paraId="5B1174D7" w14:textId="56660C49" w:rsidR="00E505E2" w:rsidRPr="00165893" w:rsidRDefault="00E505E2" w:rsidP="00165893">
      <w:pPr>
        <w:spacing w:after="25" w:line="360" w:lineRule="auto"/>
        <w:ind w:right="115"/>
        <w:jc w:val="both"/>
        <w:rPr>
          <w:rFonts w:cstheme="minorHAnsi"/>
          <w:sz w:val="24"/>
          <w:szCs w:val="24"/>
        </w:rPr>
      </w:pPr>
      <w:r w:rsidRPr="00165893">
        <w:rPr>
          <w:rFonts w:eastAsia="Times New Roman" w:cstheme="minorHAnsi"/>
          <w:sz w:val="24"/>
          <w:szCs w:val="24"/>
        </w:rPr>
        <w:t xml:space="preserve">Proces szacowania kapitału wewnętrznego stanowi integralną część systemu zarządzania Bankiem oraz </w:t>
      </w:r>
      <w:r w:rsidRPr="00165893">
        <w:rPr>
          <w:rFonts w:cstheme="minorHAnsi"/>
          <w:noProof/>
          <w:sz w:val="24"/>
          <w:szCs w:val="24"/>
        </w:rPr>
        <w:drawing>
          <wp:inline distT="0" distB="0" distL="0" distR="0" wp14:anchorId="1F03D89C" wp14:editId="7199A88B">
            <wp:extent cx="6094" cy="6093"/>
            <wp:effectExtent l="0" t="0" r="0" b="0"/>
            <wp:docPr id="83092" name="Picture 83092"/>
            <wp:cNvGraphicFramePr/>
            <a:graphic xmlns:a="http://schemas.openxmlformats.org/drawingml/2006/main">
              <a:graphicData uri="http://schemas.openxmlformats.org/drawingml/2006/picture">
                <pic:pic xmlns:pic="http://schemas.openxmlformats.org/drawingml/2006/picture">
                  <pic:nvPicPr>
                    <pic:cNvPr id="83092" name="Picture 83092"/>
                    <pic:cNvPicPr/>
                  </pic:nvPicPr>
                  <pic:blipFill>
                    <a:blip r:embed="rId55"/>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 xml:space="preserve">podejmowania decyzji o charakterze zarządczym, z uwzględnieniem strategii Banku. W ramach procesu wyznaczania wewnętrznego wymogu kapitałowego, Bank dąży do oszacowania, czy posiadany kapitał jest odpowiedni do skali ponoszonego ryzyka, dokonując na bieżąco identyfikacji i oceny ponoszonego ryzyka. </w:t>
      </w:r>
      <w:r w:rsidRPr="00165893">
        <w:rPr>
          <w:rFonts w:cstheme="minorHAnsi"/>
          <w:noProof/>
          <w:sz w:val="24"/>
          <w:szCs w:val="24"/>
        </w:rPr>
        <w:drawing>
          <wp:inline distT="0" distB="0" distL="0" distR="0" wp14:anchorId="2EE3CE77" wp14:editId="74746958">
            <wp:extent cx="6093" cy="12185"/>
            <wp:effectExtent l="0" t="0" r="0" b="0"/>
            <wp:docPr id="83093" name="Picture 83093"/>
            <wp:cNvGraphicFramePr/>
            <a:graphic xmlns:a="http://schemas.openxmlformats.org/drawingml/2006/main">
              <a:graphicData uri="http://schemas.openxmlformats.org/drawingml/2006/picture">
                <pic:pic xmlns:pic="http://schemas.openxmlformats.org/drawingml/2006/picture">
                  <pic:nvPicPr>
                    <pic:cNvPr id="83093" name="Picture 83093"/>
                    <pic:cNvPicPr/>
                  </pic:nvPicPr>
                  <pic:blipFill>
                    <a:blip r:embed="rId59"/>
                    <a:stretch>
                      <a:fillRect/>
                    </a:stretch>
                  </pic:blipFill>
                  <pic:spPr>
                    <a:xfrm>
                      <a:off x="0" y="0"/>
                      <a:ext cx="6093" cy="12185"/>
                    </a:xfrm>
                    <a:prstGeom prst="rect">
                      <a:avLst/>
                    </a:prstGeom>
                  </pic:spPr>
                </pic:pic>
              </a:graphicData>
            </a:graphic>
          </wp:inline>
        </w:drawing>
      </w:r>
      <w:r w:rsidRPr="00165893">
        <w:rPr>
          <w:rFonts w:eastAsia="Times New Roman" w:cstheme="minorHAnsi"/>
          <w:sz w:val="24"/>
          <w:szCs w:val="24"/>
        </w:rPr>
        <w:t xml:space="preserve">Celem procesu szacowania kapitału wewnętrznego jest ustalenie wielkości kapitału wewnętrznego, niezbędnego do pokrycia wszystkich zidentyfikowanych, istotnych rodzajów ryzyka występujących w działalności Banku oraz zmian otoczenia gospodarczego, z uwzględnieniem przewidywanego poziomu ryzyka. Proces szacowania kapitału wewnętrznego opiera się na rzetelnych wynikach oceny </w:t>
      </w:r>
      <w:r w:rsidRPr="00165893">
        <w:rPr>
          <w:rFonts w:eastAsia="Times New Roman" w:cstheme="minorHAnsi"/>
          <w:sz w:val="24"/>
          <w:szCs w:val="24"/>
        </w:rPr>
        <w:lastRenderedPageBreak/>
        <w:t>ryzyka. Ocena adekwatności kapitałowej uwzględnia czynniki ilościowe (wyniki metod szacowania kapitału) i jakościowe, w szczególności w zakresie danych wejściowych i wyników stosowanych metod. Rezultatem procesu szacowania kapitału wewnętrznego jest ustalenie całkowitego wymaganego poziomu kapitału na pokrycie wszystkich istotnych rodzajów ryzyka i jego jakościowa ocena.</w:t>
      </w:r>
    </w:p>
    <w:p w14:paraId="7477292E" w14:textId="1A73BDA1" w:rsidR="00E505E2" w:rsidRPr="00165893" w:rsidRDefault="00E505E2" w:rsidP="00165893">
      <w:pPr>
        <w:spacing w:line="360" w:lineRule="auto"/>
        <w:jc w:val="both"/>
        <w:rPr>
          <w:rFonts w:eastAsia="Times New Roman" w:cstheme="minorHAnsi"/>
          <w:sz w:val="24"/>
          <w:szCs w:val="24"/>
        </w:rPr>
      </w:pPr>
      <w:r w:rsidRPr="00165893">
        <w:rPr>
          <w:rFonts w:eastAsia="Times New Roman" w:cstheme="minorHAnsi"/>
          <w:sz w:val="24"/>
          <w:szCs w:val="24"/>
        </w:rPr>
        <w:t xml:space="preserve">W zarządzaniu poszczególnymi rodzajami ryzyka w Banku szczególny nacisk położony jest na wyjaśnienie przyczyn występowania zdarzeń generujących ryzyko oraz oszacowanie ich wpływu na efektywność działania Banku, wypłacalność, płynność oraz adekwatność kapitałową. W tym celu Bank wykorzystuje techniki </w:t>
      </w:r>
      <w:r w:rsidRPr="00165893">
        <w:rPr>
          <w:rFonts w:cstheme="minorHAnsi"/>
          <w:noProof/>
          <w:sz w:val="24"/>
          <w:szCs w:val="24"/>
        </w:rPr>
        <w:drawing>
          <wp:inline distT="0" distB="0" distL="0" distR="0" wp14:anchorId="30FA4510" wp14:editId="0C384677">
            <wp:extent cx="12188" cy="54835"/>
            <wp:effectExtent l="0" t="0" r="0" b="0"/>
            <wp:docPr id="231391" name="Picture 231391"/>
            <wp:cNvGraphicFramePr/>
            <a:graphic xmlns:a="http://schemas.openxmlformats.org/drawingml/2006/main">
              <a:graphicData uri="http://schemas.openxmlformats.org/drawingml/2006/picture">
                <pic:pic xmlns:pic="http://schemas.openxmlformats.org/drawingml/2006/picture">
                  <pic:nvPicPr>
                    <pic:cNvPr id="231391" name="Picture 231391"/>
                    <pic:cNvPicPr/>
                  </pic:nvPicPr>
                  <pic:blipFill>
                    <a:blip r:embed="rId60"/>
                    <a:stretch>
                      <a:fillRect/>
                    </a:stretch>
                  </pic:blipFill>
                  <pic:spPr>
                    <a:xfrm>
                      <a:off x="0" y="0"/>
                      <a:ext cx="12188" cy="54835"/>
                    </a:xfrm>
                    <a:prstGeom prst="rect">
                      <a:avLst/>
                    </a:prstGeom>
                  </pic:spPr>
                </pic:pic>
              </a:graphicData>
            </a:graphic>
          </wp:inline>
        </w:drawing>
      </w:r>
      <w:r w:rsidRPr="00165893">
        <w:rPr>
          <w:rFonts w:eastAsia="Times New Roman" w:cstheme="minorHAnsi"/>
          <w:sz w:val="24"/>
          <w:szCs w:val="24"/>
        </w:rPr>
        <w:t xml:space="preserve">testowania warunków skrajnych. Bank projektując i stosując testy warunków skrajnych uwzględnia zasadę </w:t>
      </w:r>
      <w:r w:rsidRPr="00165893">
        <w:rPr>
          <w:rFonts w:cstheme="minorHAnsi"/>
          <w:noProof/>
          <w:sz w:val="24"/>
          <w:szCs w:val="24"/>
        </w:rPr>
        <w:drawing>
          <wp:inline distT="0" distB="0" distL="0" distR="0" wp14:anchorId="65F3F9ED" wp14:editId="5BC7E9DD">
            <wp:extent cx="6094" cy="6093"/>
            <wp:effectExtent l="0" t="0" r="0" b="0"/>
            <wp:docPr id="83096" name="Picture 83096"/>
            <wp:cNvGraphicFramePr/>
            <a:graphic xmlns:a="http://schemas.openxmlformats.org/drawingml/2006/main">
              <a:graphicData uri="http://schemas.openxmlformats.org/drawingml/2006/picture">
                <pic:pic xmlns:pic="http://schemas.openxmlformats.org/drawingml/2006/picture">
                  <pic:nvPicPr>
                    <pic:cNvPr id="83096" name="Picture 83096"/>
                    <pic:cNvPicPr/>
                  </pic:nvPicPr>
                  <pic:blipFill>
                    <a:blip r:embed="rId31"/>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 xml:space="preserve">proporcjonalności, adekwatnie do swojej skali działalności, a także struktury i poziomu ryzyka obciążającego </w:t>
      </w:r>
      <w:r w:rsidRPr="00165893">
        <w:rPr>
          <w:rFonts w:cstheme="minorHAnsi"/>
          <w:noProof/>
          <w:sz w:val="24"/>
          <w:szCs w:val="24"/>
        </w:rPr>
        <w:drawing>
          <wp:inline distT="0" distB="0" distL="0" distR="0" wp14:anchorId="1F63AB4A" wp14:editId="4DAEEDDB">
            <wp:extent cx="24375" cy="18279"/>
            <wp:effectExtent l="0" t="0" r="0" b="0"/>
            <wp:docPr id="231393" name="Picture 231393"/>
            <wp:cNvGraphicFramePr/>
            <a:graphic xmlns:a="http://schemas.openxmlformats.org/drawingml/2006/main">
              <a:graphicData uri="http://schemas.openxmlformats.org/drawingml/2006/picture">
                <pic:pic xmlns:pic="http://schemas.openxmlformats.org/drawingml/2006/picture">
                  <pic:nvPicPr>
                    <pic:cNvPr id="231393" name="Picture 231393"/>
                    <pic:cNvPicPr/>
                  </pic:nvPicPr>
                  <pic:blipFill>
                    <a:blip r:embed="rId61"/>
                    <a:stretch>
                      <a:fillRect/>
                    </a:stretch>
                  </pic:blipFill>
                  <pic:spPr>
                    <a:xfrm>
                      <a:off x="0" y="0"/>
                      <a:ext cx="24375" cy="18279"/>
                    </a:xfrm>
                    <a:prstGeom prst="rect">
                      <a:avLst/>
                    </a:prstGeom>
                  </pic:spPr>
                </pic:pic>
              </a:graphicData>
            </a:graphic>
          </wp:inline>
        </w:drawing>
      </w:r>
      <w:r w:rsidRPr="00165893">
        <w:rPr>
          <w:rFonts w:eastAsia="Times New Roman" w:cstheme="minorHAnsi"/>
          <w:sz w:val="24"/>
          <w:szCs w:val="24"/>
        </w:rPr>
        <w:t>Bank.</w:t>
      </w:r>
    </w:p>
    <w:p w14:paraId="057005D0" w14:textId="77777777" w:rsidR="00E505E2" w:rsidRPr="00165893" w:rsidRDefault="00E505E2" w:rsidP="00165893">
      <w:pPr>
        <w:spacing w:after="64" w:line="360" w:lineRule="auto"/>
        <w:ind w:left="77" w:right="14"/>
        <w:jc w:val="both"/>
        <w:rPr>
          <w:rFonts w:cstheme="minorHAnsi"/>
          <w:sz w:val="24"/>
          <w:szCs w:val="24"/>
        </w:rPr>
      </w:pPr>
      <w:r w:rsidRPr="00165893">
        <w:rPr>
          <w:rFonts w:eastAsia="Times New Roman" w:cstheme="minorHAnsi"/>
          <w:sz w:val="24"/>
          <w:szCs w:val="24"/>
        </w:rPr>
        <w:t xml:space="preserve">Organizacja systemu zarządzania ryzykiem jest oparta o podział zadań realizowany w trzech, wzajemnie </w:t>
      </w:r>
      <w:r w:rsidRPr="00165893">
        <w:rPr>
          <w:rFonts w:cstheme="minorHAnsi"/>
          <w:noProof/>
          <w:sz w:val="24"/>
          <w:szCs w:val="24"/>
        </w:rPr>
        <w:drawing>
          <wp:inline distT="0" distB="0" distL="0" distR="0" wp14:anchorId="2EA6C3C4" wp14:editId="4EB1015B">
            <wp:extent cx="6094" cy="6093"/>
            <wp:effectExtent l="0" t="0" r="0" b="0"/>
            <wp:docPr id="83099" name="Picture 83099"/>
            <wp:cNvGraphicFramePr/>
            <a:graphic xmlns:a="http://schemas.openxmlformats.org/drawingml/2006/main">
              <a:graphicData uri="http://schemas.openxmlformats.org/drawingml/2006/picture">
                <pic:pic xmlns:pic="http://schemas.openxmlformats.org/drawingml/2006/picture">
                  <pic:nvPicPr>
                    <pic:cNvPr id="83099" name="Picture 83099"/>
                    <pic:cNvPicPr/>
                  </pic:nvPicPr>
                  <pic:blipFill>
                    <a:blip r:embed="rId17"/>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niezależnych liniach obrony (poziomach):</w:t>
      </w:r>
    </w:p>
    <w:p w14:paraId="359BA46D" w14:textId="33A5DA2C" w:rsidR="00E505E2" w:rsidRPr="00165893" w:rsidRDefault="00E505E2" w:rsidP="00165893">
      <w:pPr>
        <w:pStyle w:val="Akapitzlist"/>
        <w:numPr>
          <w:ilvl w:val="0"/>
          <w:numId w:val="20"/>
        </w:numPr>
        <w:spacing w:line="360" w:lineRule="auto"/>
        <w:ind w:right="221"/>
        <w:jc w:val="both"/>
        <w:rPr>
          <w:rFonts w:cstheme="minorHAnsi"/>
          <w:sz w:val="24"/>
          <w:szCs w:val="24"/>
        </w:rPr>
      </w:pPr>
      <w:r w:rsidRPr="00165893">
        <w:rPr>
          <w:rFonts w:eastAsia="Times New Roman" w:cstheme="minorHAnsi"/>
          <w:sz w:val="24"/>
          <w:szCs w:val="24"/>
        </w:rPr>
        <w:t xml:space="preserve">pierwsza linia obrony (zarządzanie ryzykiem na pierwszym poziomie) - którą stanowi bieżące </w:t>
      </w:r>
      <w:r w:rsidRPr="00165893">
        <w:rPr>
          <w:rFonts w:cstheme="minorHAnsi"/>
          <w:noProof/>
          <w:sz w:val="24"/>
          <w:szCs w:val="24"/>
        </w:rPr>
        <w:drawing>
          <wp:inline distT="0" distB="0" distL="0" distR="0" wp14:anchorId="778DE103" wp14:editId="18FE31F1">
            <wp:extent cx="6094" cy="6093"/>
            <wp:effectExtent l="0" t="0" r="0" b="0"/>
            <wp:docPr id="83100" name="Picture 83100"/>
            <wp:cNvGraphicFramePr/>
            <a:graphic xmlns:a="http://schemas.openxmlformats.org/drawingml/2006/main">
              <a:graphicData uri="http://schemas.openxmlformats.org/drawingml/2006/picture">
                <pic:pic xmlns:pic="http://schemas.openxmlformats.org/drawingml/2006/picture">
                  <pic:nvPicPr>
                    <pic:cNvPr id="83100" name="Picture 83100"/>
                    <pic:cNvPicPr/>
                  </pic:nvPicPr>
                  <pic:blipFill>
                    <a:blip r:embed="rId62"/>
                    <a:stretch>
                      <a:fillRect/>
                    </a:stretch>
                  </pic:blipFill>
                  <pic:spPr>
                    <a:xfrm>
                      <a:off x="0" y="0"/>
                      <a:ext cx="6094" cy="6093"/>
                    </a:xfrm>
                    <a:prstGeom prst="rect">
                      <a:avLst/>
                    </a:prstGeom>
                  </pic:spPr>
                </pic:pic>
              </a:graphicData>
            </a:graphic>
          </wp:inline>
        </w:drawing>
      </w:r>
      <w:r w:rsidRPr="00165893">
        <w:rPr>
          <w:rFonts w:eastAsia="Times New Roman" w:cstheme="minorHAnsi"/>
          <w:sz w:val="24"/>
          <w:szCs w:val="24"/>
        </w:rPr>
        <w:t>-zarządzanie ryzykiem przez wszystkie jednostki i komórki organizacyjne Banku zaliczane przez Bank do pierwszego poziomu (w tym jednostki biznesowe lub jednostki wsparcia, np. odpowiedzialne za rozliczanie transakcji), stosujące mechanizmy kontroli ryzyka oraz odpowiednie mechanizmy kontrolne zapewniające właściwe stosowanie mechanizmów kontroli ryzyka i bieżące zapewnianie zgodności działania z obowiązującymi przepisami prawa, a także regulacjami wewnętrznymi i standardami rynkowymi</w:t>
      </w:r>
      <w:r w:rsidR="00CA23B9" w:rsidRPr="00165893">
        <w:rPr>
          <w:rFonts w:eastAsia="Times New Roman" w:cstheme="minorHAnsi"/>
          <w:sz w:val="24"/>
          <w:szCs w:val="24"/>
        </w:rPr>
        <w:t>,</w:t>
      </w:r>
    </w:p>
    <w:p w14:paraId="76BCE363" w14:textId="15E4F9EE" w:rsidR="00CA23B9" w:rsidRPr="00165893" w:rsidRDefault="00CA23B9" w:rsidP="00165893">
      <w:pPr>
        <w:pStyle w:val="Akapitzlist"/>
        <w:numPr>
          <w:ilvl w:val="0"/>
          <w:numId w:val="20"/>
        </w:numPr>
        <w:spacing w:line="360" w:lineRule="auto"/>
        <w:ind w:right="221"/>
        <w:jc w:val="both"/>
        <w:rPr>
          <w:rFonts w:cstheme="minorHAnsi"/>
          <w:sz w:val="24"/>
          <w:szCs w:val="24"/>
        </w:rPr>
      </w:pPr>
      <w:r w:rsidRPr="00165893">
        <w:rPr>
          <w:rFonts w:eastAsia="Times New Roman" w:cstheme="minorHAnsi"/>
          <w:sz w:val="24"/>
          <w:szCs w:val="24"/>
        </w:rPr>
        <w:t xml:space="preserve">druga linia obrony (zarządzanie ryzykiem na drugim poziomie)-którą stanowi zarządzanie ryzykiem przez pracowników na specjalnie powoływanych do tego stanowiskach lub </w:t>
      </w:r>
      <w:r w:rsidR="004D6237">
        <w:rPr>
          <w:rFonts w:eastAsia="Times New Roman" w:cstheme="minorHAnsi"/>
          <w:sz w:val="24"/>
          <w:szCs w:val="24"/>
        </w:rPr>
        <w:t>w</w:t>
      </w:r>
      <w:r w:rsidRPr="00165893">
        <w:rPr>
          <w:rFonts w:eastAsia="Times New Roman" w:cstheme="minorHAnsi"/>
          <w:sz w:val="24"/>
          <w:szCs w:val="24"/>
        </w:rPr>
        <w:t xml:space="preserve"> komórkach </w:t>
      </w:r>
      <w:r w:rsidRPr="00165893">
        <w:rPr>
          <w:rFonts w:cstheme="minorHAnsi"/>
          <w:noProof/>
          <w:sz w:val="24"/>
          <w:szCs w:val="24"/>
        </w:rPr>
        <w:drawing>
          <wp:inline distT="0" distB="0" distL="0" distR="0" wp14:anchorId="1D62BDDA" wp14:editId="701A2783">
            <wp:extent cx="6094" cy="54835"/>
            <wp:effectExtent l="0" t="0" r="0" b="0"/>
            <wp:docPr id="231408" name="Picture 231408"/>
            <wp:cNvGraphicFramePr/>
            <a:graphic xmlns:a="http://schemas.openxmlformats.org/drawingml/2006/main">
              <a:graphicData uri="http://schemas.openxmlformats.org/drawingml/2006/picture">
                <pic:pic xmlns:pic="http://schemas.openxmlformats.org/drawingml/2006/picture">
                  <pic:nvPicPr>
                    <pic:cNvPr id="231408" name="Picture 231408"/>
                    <pic:cNvPicPr/>
                  </pic:nvPicPr>
                  <pic:blipFill>
                    <a:blip r:embed="rId63"/>
                    <a:stretch>
                      <a:fillRect/>
                    </a:stretch>
                  </pic:blipFill>
                  <pic:spPr>
                    <a:xfrm>
                      <a:off x="0" y="0"/>
                      <a:ext cx="6094" cy="54835"/>
                    </a:xfrm>
                    <a:prstGeom prst="rect">
                      <a:avLst/>
                    </a:prstGeom>
                  </pic:spPr>
                </pic:pic>
              </a:graphicData>
            </a:graphic>
          </wp:inline>
        </w:drawing>
      </w:r>
      <w:r w:rsidRPr="00165893">
        <w:rPr>
          <w:rFonts w:cstheme="minorHAnsi"/>
          <w:noProof/>
          <w:sz w:val="24"/>
          <w:szCs w:val="24"/>
        </w:rPr>
        <w:drawing>
          <wp:inline distT="0" distB="0" distL="0" distR="0" wp14:anchorId="366ACC32" wp14:editId="3A285A87">
            <wp:extent cx="6094" cy="12186"/>
            <wp:effectExtent l="0" t="0" r="0" b="0"/>
            <wp:docPr id="86182" name="Picture 86182"/>
            <wp:cNvGraphicFramePr/>
            <a:graphic xmlns:a="http://schemas.openxmlformats.org/drawingml/2006/main">
              <a:graphicData uri="http://schemas.openxmlformats.org/drawingml/2006/picture">
                <pic:pic xmlns:pic="http://schemas.openxmlformats.org/drawingml/2006/picture">
                  <pic:nvPicPr>
                    <pic:cNvPr id="86182" name="Picture 86182"/>
                    <pic:cNvPicPr/>
                  </pic:nvPicPr>
                  <pic:blipFill>
                    <a:blip r:embed="rId64"/>
                    <a:stretch>
                      <a:fillRect/>
                    </a:stretch>
                  </pic:blipFill>
                  <pic:spPr>
                    <a:xfrm>
                      <a:off x="0" y="0"/>
                      <a:ext cx="6094" cy="12186"/>
                    </a:xfrm>
                    <a:prstGeom prst="rect">
                      <a:avLst/>
                    </a:prstGeom>
                  </pic:spPr>
                </pic:pic>
              </a:graphicData>
            </a:graphic>
          </wp:inline>
        </w:drawing>
      </w:r>
      <w:r w:rsidRPr="00165893">
        <w:rPr>
          <w:rFonts w:eastAsia="Times New Roman" w:cstheme="minorHAnsi"/>
          <w:sz w:val="24"/>
          <w:szCs w:val="24"/>
        </w:rPr>
        <w:t xml:space="preserve">organizacyjnych, niezależnie od zarządzania ryzykiem na pierwszym poziomie, w tym Zespół zarządzania ryzkami i analiz oraz inne komórki organizacyjne odpowiedzialne za zarządzanie </w:t>
      </w:r>
      <w:r w:rsidRPr="00165893">
        <w:rPr>
          <w:rFonts w:cstheme="minorHAnsi"/>
          <w:noProof/>
          <w:sz w:val="24"/>
          <w:szCs w:val="24"/>
        </w:rPr>
        <w:drawing>
          <wp:inline distT="0" distB="0" distL="0" distR="0" wp14:anchorId="3925C802" wp14:editId="7976BBD5">
            <wp:extent cx="6094" cy="79207"/>
            <wp:effectExtent l="0" t="0" r="0" b="0"/>
            <wp:docPr id="231410" name="Picture 231410"/>
            <wp:cNvGraphicFramePr/>
            <a:graphic xmlns:a="http://schemas.openxmlformats.org/drawingml/2006/main">
              <a:graphicData uri="http://schemas.openxmlformats.org/drawingml/2006/picture">
                <pic:pic xmlns:pic="http://schemas.openxmlformats.org/drawingml/2006/picture">
                  <pic:nvPicPr>
                    <pic:cNvPr id="231410" name="Picture 231410"/>
                    <pic:cNvPicPr/>
                  </pic:nvPicPr>
                  <pic:blipFill>
                    <a:blip r:embed="rId65"/>
                    <a:stretch>
                      <a:fillRect/>
                    </a:stretch>
                  </pic:blipFill>
                  <pic:spPr>
                    <a:xfrm>
                      <a:off x="0" y="0"/>
                      <a:ext cx="6094" cy="79207"/>
                    </a:xfrm>
                    <a:prstGeom prst="rect">
                      <a:avLst/>
                    </a:prstGeom>
                  </pic:spPr>
                </pic:pic>
              </a:graphicData>
            </a:graphic>
          </wp:inline>
        </w:drawing>
      </w:r>
      <w:r w:rsidRPr="00165893">
        <w:rPr>
          <w:rFonts w:cstheme="minorHAnsi"/>
          <w:noProof/>
          <w:sz w:val="24"/>
          <w:szCs w:val="24"/>
        </w:rPr>
        <w:drawing>
          <wp:inline distT="0" distB="0" distL="0" distR="0" wp14:anchorId="5B10C2AE" wp14:editId="2D09610F">
            <wp:extent cx="6094" cy="54835"/>
            <wp:effectExtent l="0" t="0" r="0" b="0"/>
            <wp:docPr id="231412" name="Picture 231412"/>
            <wp:cNvGraphicFramePr/>
            <a:graphic xmlns:a="http://schemas.openxmlformats.org/drawingml/2006/main">
              <a:graphicData uri="http://schemas.openxmlformats.org/drawingml/2006/picture">
                <pic:pic xmlns:pic="http://schemas.openxmlformats.org/drawingml/2006/picture">
                  <pic:nvPicPr>
                    <pic:cNvPr id="231412" name="Picture 231412"/>
                    <pic:cNvPicPr/>
                  </pic:nvPicPr>
                  <pic:blipFill>
                    <a:blip r:embed="rId66"/>
                    <a:stretch>
                      <a:fillRect/>
                    </a:stretch>
                  </pic:blipFill>
                  <pic:spPr>
                    <a:xfrm>
                      <a:off x="0" y="0"/>
                      <a:ext cx="6094" cy="54835"/>
                    </a:xfrm>
                    <a:prstGeom prst="rect">
                      <a:avLst/>
                    </a:prstGeom>
                  </pic:spPr>
                </pic:pic>
              </a:graphicData>
            </a:graphic>
          </wp:inline>
        </w:drawing>
      </w:r>
      <w:r w:rsidRPr="00165893">
        <w:rPr>
          <w:rFonts w:eastAsia="Times New Roman" w:cstheme="minorHAnsi"/>
          <w:sz w:val="24"/>
          <w:szCs w:val="24"/>
        </w:rPr>
        <w:t xml:space="preserve">ryzykiem na drugim poziomie (linii obrony), odpowiedzialne za niezależną: identyfikację, ocenę, </w:t>
      </w:r>
      <w:r w:rsidRPr="00165893">
        <w:rPr>
          <w:rFonts w:cstheme="minorHAnsi"/>
          <w:noProof/>
          <w:sz w:val="24"/>
          <w:szCs w:val="24"/>
        </w:rPr>
        <w:drawing>
          <wp:inline distT="0" distB="0" distL="0" distR="0" wp14:anchorId="5BDD39BD" wp14:editId="50FCF7D4">
            <wp:extent cx="6094" cy="30464"/>
            <wp:effectExtent l="0" t="0" r="0" b="0"/>
            <wp:docPr id="231414" name="Picture 231414"/>
            <wp:cNvGraphicFramePr/>
            <a:graphic xmlns:a="http://schemas.openxmlformats.org/drawingml/2006/main">
              <a:graphicData uri="http://schemas.openxmlformats.org/drawingml/2006/picture">
                <pic:pic xmlns:pic="http://schemas.openxmlformats.org/drawingml/2006/picture">
                  <pic:nvPicPr>
                    <pic:cNvPr id="231414" name="Picture 231414"/>
                    <pic:cNvPicPr/>
                  </pic:nvPicPr>
                  <pic:blipFill>
                    <a:blip r:embed="rId67"/>
                    <a:stretch>
                      <a:fillRect/>
                    </a:stretch>
                  </pic:blipFill>
                  <pic:spPr>
                    <a:xfrm>
                      <a:off x="0" y="0"/>
                      <a:ext cx="6094" cy="30464"/>
                    </a:xfrm>
                    <a:prstGeom prst="rect">
                      <a:avLst/>
                    </a:prstGeom>
                  </pic:spPr>
                </pic:pic>
              </a:graphicData>
            </a:graphic>
          </wp:inline>
        </w:drawing>
      </w:r>
      <w:r w:rsidRPr="00165893">
        <w:rPr>
          <w:rFonts w:eastAsia="Times New Roman" w:cstheme="minorHAnsi"/>
          <w:sz w:val="24"/>
          <w:szCs w:val="24"/>
        </w:rPr>
        <w:t xml:space="preserve">kontrolę, monitorowanie ryzyka oraz raportowanie o ryzyku powstałym w związku z działalnością </w:t>
      </w:r>
      <w:r w:rsidRPr="00165893">
        <w:rPr>
          <w:rFonts w:cstheme="minorHAnsi"/>
          <w:noProof/>
          <w:sz w:val="24"/>
          <w:szCs w:val="24"/>
        </w:rPr>
        <w:drawing>
          <wp:inline distT="0" distB="0" distL="0" distR="0" wp14:anchorId="13BC56A3" wp14:editId="3B545DCB">
            <wp:extent cx="6094" cy="6093"/>
            <wp:effectExtent l="0" t="0" r="0" b="0"/>
            <wp:docPr id="86190" name="Picture 86190"/>
            <wp:cNvGraphicFramePr/>
            <a:graphic xmlns:a="http://schemas.openxmlformats.org/drawingml/2006/main">
              <a:graphicData uri="http://schemas.openxmlformats.org/drawingml/2006/picture">
                <pic:pic xmlns:pic="http://schemas.openxmlformats.org/drawingml/2006/picture">
                  <pic:nvPicPr>
                    <pic:cNvPr id="86190" name="Picture 86190"/>
                    <pic:cNvPicPr/>
                  </pic:nvPicPr>
                  <pic:blipFill>
                    <a:blip r:embed="rId30"/>
                    <a:stretch>
                      <a:fillRect/>
                    </a:stretch>
                  </pic:blipFill>
                  <pic:spPr>
                    <a:xfrm>
                      <a:off x="0" y="0"/>
                      <a:ext cx="6094" cy="6093"/>
                    </a:xfrm>
                    <a:prstGeom prst="rect">
                      <a:avLst/>
                    </a:prstGeom>
                  </pic:spPr>
                </pic:pic>
              </a:graphicData>
            </a:graphic>
          </wp:inline>
        </w:drawing>
      </w:r>
      <w:r w:rsidRPr="00165893">
        <w:rPr>
          <w:rFonts w:cstheme="minorHAnsi"/>
          <w:noProof/>
          <w:sz w:val="24"/>
          <w:szCs w:val="24"/>
        </w:rPr>
        <w:drawing>
          <wp:inline distT="0" distB="0" distL="0" distR="0" wp14:anchorId="2E9EFF87" wp14:editId="24BD9C29">
            <wp:extent cx="6094" cy="12186"/>
            <wp:effectExtent l="0" t="0" r="0" b="0"/>
            <wp:docPr id="86193" name="Picture 86193"/>
            <wp:cNvGraphicFramePr/>
            <a:graphic xmlns:a="http://schemas.openxmlformats.org/drawingml/2006/main">
              <a:graphicData uri="http://schemas.openxmlformats.org/drawingml/2006/picture">
                <pic:pic xmlns:pic="http://schemas.openxmlformats.org/drawingml/2006/picture">
                  <pic:nvPicPr>
                    <pic:cNvPr id="86193" name="Picture 86193"/>
                    <pic:cNvPicPr/>
                  </pic:nvPicPr>
                  <pic:blipFill>
                    <a:blip r:embed="rId68"/>
                    <a:stretch>
                      <a:fillRect/>
                    </a:stretch>
                  </pic:blipFill>
                  <pic:spPr>
                    <a:xfrm>
                      <a:off x="0" y="0"/>
                      <a:ext cx="6094" cy="12186"/>
                    </a:xfrm>
                    <a:prstGeom prst="rect">
                      <a:avLst/>
                    </a:prstGeom>
                  </pic:spPr>
                </pic:pic>
              </a:graphicData>
            </a:graphic>
          </wp:inline>
        </w:drawing>
      </w:r>
      <w:r w:rsidRPr="00165893">
        <w:rPr>
          <w:rFonts w:eastAsia="Times New Roman" w:cstheme="minorHAnsi"/>
          <w:sz w:val="24"/>
          <w:szCs w:val="24"/>
        </w:rPr>
        <w:t xml:space="preserve">prowadzoną przez Bank (zarządzanie ryzykiem na drugim poziomie), obejmujące również składanie </w:t>
      </w:r>
      <w:r w:rsidRPr="00165893">
        <w:rPr>
          <w:rFonts w:cstheme="minorHAnsi"/>
          <w:noProof/>
          <w:sz w:val="24"/>
          <w:szCs w:val="24"/>
        </w:rPr>
        <w:drawing>
          <wp:inline distT="0" distB="0" distL="0" distR="0" wp14:anchorId="191C9AA0" wp14:editId="7964BBC5">
            <wp:extent cx="18283" cy="24371"/>
            <wp:effectExtent l="0" t="0" r="0" b="0"/>
            <wp:docPr id="231416" name="Picture 231416"/>
            <wp:cNvGraphicFramePr/>
            <a:graphic xmlns:a="http://schemas.openxmlformats.org/drawingml/2006/main">
              <a:graphicData uri="http://schemas.openxmlformats.org/drawingml/2006/picture">
                <pic:pic xmlns:pic="http://schemas.openxmlformats.org/drawingml/2006/picture">
                  <pic:nvPicPr>
                    <pic:cNvPr id="231416" name="Picture 231416"/>
                    <pic:cNvPicPr/>
                  </pic:nvPicPr>
                  <pic:blipFill>
                    <a:blip r:embed="rId69"/>
                    <a:stretch>
                      <a:fillRect/>
                    </a:stretch>
                  </pic:blipFill>
                  <pic:spPr>
                    <a:xfrm>
                      <a:off x="0" y="0"/>
                      <a:ext cx="18283" cy="24371"/>
                    </a:xfrm>
                    <a:prstGeom prst="rect">
                      <a:avLst/>
                    </a:prstGeom>
                  </pic:spPr>
                </pic:pic>
              </a:graphicData>
            </a:graphic>
          </wp:inline>
        </w:drawing>
      </w:r>
      <w:r w:rsidRPr="00165893">
        <w:rPr>
          <w:rFonts w:eastAsia="Times New Roman" w:cstheme="minorHAnsi"/>
          <w:sz w:val="24"/>
          <w:szCs w:val="24"/>
        </w:rPr>
        <w:t>propozycji koniecznych działań,</w:t>
      </w:r>
    </w:p>
    <w:p w14:paraId="5143BD40" w14:textId="7CD2C176" w:rsidR="00CA23B9" w:rsidRPr="00165893" w:rsidRDefault="00CA23B9" w:rsidP="00165893">
      <w:pPr>
        <w:pStyle w:val="Akapitzlist"/>
        <w:numPr>
          <w:ilvl w:val="0"/>
          <w:numId w:val="20"/>
        </w:numPr>
        <w:spacing w:line="360" w:lineRule="auto"/>
        <w:ind w:right="221"/>
        <w:jc w:val="both"/>
        <w:rPr>
          <w:rFonts w:cstheme="minorHAnsi"/>
          <w:sz w:val="24"/>
          <w:szCs w:val="24"/>
        </w:rPr>
      </w:pPr>
      <w:r w:rsidRPr="00165893">
        <w:rPr>
          <w:rFonts w:eastAsia="Times New Roman" w:cstheme="minorHAnsi"/>
          <w:sz w:val="24"/>
          <w:szCs w:val="24"/>
        </w:rPr>
        <w:lastRenderedPageBreak/>
        <w:t>trzecia linia obrony - którą stanowi audyt wewnętrzny, realizowany przez SSOZ BPS.</w:t>
      </w:r>
    </w:p>
    <w:p w14:paraId="1453223B" w14:textId="5454E6EE" w:rsidR="00446D0A" w:rsidRPr="00165893" w:rsidRDefault="00446D0A" w:rsidP="00165893">
      <w:pPr>
        <w:spacing w:after="153" w:line="360" w:lineRule="auto"/>
        <w:ind w:left="360" w:right="14"/>
        <w:jc w:val="both"/>
        <w:rPr>
          <w:rFonts w:cstheme="minorHAnsi"/>
          <w:b/>
          <w:bCs/>
          <w:sz w:val="24"/>
          <w:szCs w:val="24"/>
        </w:rPr>
      </w:pPr>
      <w:r w:rsidRPr="00165893">
        <w:rPr>
          <w:rFonts w:cstheme="minorHAnsi"/>
          <w:b/>
          <w:bCs/>
          <w:sz w:val="24"/>
          <w:szCs w:val="24"/>
        </w:rPr>
        <w:t>Polityka wynagrodzeń</w:t>
      </w:r>
    </w:p>
    <w:p w14:paraId="33E47CFD" w14:textId="4C55B3BA" w:rsidR="00446D0A" w:rsidRPr="00165893" w:rsidRDefault="00446D0A" w:rsidP="006A08C4">
      <w:pPr>
        <w:spacing w:after="153" w:line="360" w:lineRule="auto"/>
        <w:ind w:right="14"/>
        <w:jc w:val="both"/>
        <w:rPr>
          <w:rFonts w:cstheme="minorHAnsi"/>
          <w:sz w:val="24"/>
          <w:szCs w:val="24"/>
        </w:rPr>
      </w:pPr>
      <w:r w:rsidRPr="00165893">
        <w:rPr>
          <w:rFonts w:cstheme="minorHAnsi"/>
          <w:sz w:val="24"/>
          <w:szCs w:val="24"/>
        </w:rPr>
        <w:t>Bank Spółdzielczy w Żywcu nie powołał komitetu do spraw wynagrodzeń.</w:t>
      </w:r>
    </w:p>
    <w:p w14:paraId="5F9BB646" w14:textId="27E1ABC0" w:rsidR="00446D0A" w:rsidRPr="00165893" w:rsidRDefault="00446D0A" w:rsidP="00165893">
      <w:pPr>
        <w:spacing w:after="103" w:line="360" w:lineRule="auto"/>
        <w:ind w:right="240"/>
        <w:jc w:val="both"/>
        <w:rPr>
          <w:rFonts w:cstheme="minorHAnsi"/>
          <w:sz w:val="24"/>
          <w:szCs w:val="24"/>
        </w:rPr>
      </w:pPr>
      <w:r w:rsidRPr="00165893">
        <w:rPr>
          <w:rFonts w:cstheme="minorHAnsi"/>
          <w:sz w:val="24"/>
          <w:szCs w:val="24"/>
        </w:rPr>
        <w:t>Polityka wynagrodzeń została opracowana z uwzględnieniem formy prawnej w jakiej działa Bank Spółdzielczy w Żywcu, rozmiaru jego działalności (instytucja mała i niezłożona w rozumieniu art. 4 ust. I pkt. 145 Rozporządzenia CRR), ryzyka związanego z prowadzona działalnością, wewnętrznej organizacji oraz charakteru, zakresu i stopnia złożoności prowadzonej działalności.</w:t>
      </w:r>
    </w:p>
    <w:p w14:paraId="73AC7664" w14:textId="08F9AA7B" w:rsidR="00446D0A" w:rsidRPr="00165893" w:rsidRDefault="00446D0A" w:rsidP="00165893">
      <w:pPr>
        <w:spacing w:line="360" w:lineRule="auto"/>
        <w:ind w:right="269"/>
        <w:jc w:val="both"/>
        <w:rPr>
          <w:rFonts w:cstheme="minorHAnsi"/>
          <w:sz w:val="24"/>
          <w:szCs w:val="24"/>
        </w:rPr>
      </w:pPr>
      <w:r w:rsidRPr="00165893">
        <w:rPr>
          <w:rFonts w:cstheme="minorHAnsi"/>
          <w:sz w:val="24"/>
          <w:szCs w:val="24"/>
        </w:rPr>
        <w:t xml:space="preserve">Na system wynagrodzeń W Banku składają się stałe i zmienne składniki wynagrodzeń, przy czym stałe </w:t>
      </w:r>
      <w:r w:rsidRPr="00165893">
        <w:rPr>
          <w:rFonts w:cstheme="minorHAnsi"/>
          <w:noProof/>
          <w:sz w:val="24"/>
          <w:szCs w:val="24"/>
        </w:rPr>
        <w:drawing>
          <wp:inline distT="0" distB="0" distL="0" distR="0" wp14:anchorId="0821D776" wp14:editId="15536DB0">
            <wp:extent cx="18282" cy="60928"/>
            <wp:effectExtent l="0" t="0" r="0" b="0"/>
            <wp:docPr id="231490" name="Picture 231490"/>
            <wp:cNvGraphicFramePr/>
            <a:graphic xmlns:a="http://schemas.openxmlformats.org/drawingml/2006/main">
              <a:graphicData uri="http://schemas.openxmlformats.org/drawingml/2006/picture">
                <pic:pic xmlns:pic="http://schemas.openxmlformats.org/drawingml/2006/picture">
                  <pic:nvPicPr>
                    <pic:cNvPr id="231490" name="Picture 231490"/>
                    <pic:cNvPicPr/>
                  </pic:nvPicPr>
                  <pic:blipFill>
                    <a:blip r:embed="rId70"/>
                    <a:stretch>
                      <a:fillRect/>
                    </a:stretch>
                  </pic:blipFill>
                  <pic:spPr>
                    <a:xfrm>
                      <a:off x="0" y="0"/>
                      <a:ext cx="18282" cy="60928"/>
                    </a:xfrm>
                    <a:prstGeom prst="rect">
                      <a:avLst/>
                    </a:prstGeom>
                  </pic:spPr>
                </pic:pic>
              </a:graphicData>
            </a:graphic>
          </wp:inline>
        </w:drawing>
      </w:r>
      <w:r w:rsidRPr="00165893">
        <w:rPr>
          <w:rFonts w:cstheme="minorHAnsi"/>
          <w:sz w:val="24"/>
          <w:szCs w:val="24"/>
        </w:rPr>
        <w:t xml:space="preserve">składniki winny stanowić na tyle dużą część łącznego wynagrodzenia danego pracownika, aby możliwe było </w:t>
      </w:r>
      <w:r w:rsidRPr="00165893">
        <w:rPr>
          <w:rFonts w:cstheme="minorHAnsi"/>
          <w:noProof/>
          <w:sz w:val="24"/>
          <w:szCs w:val="24"/>
        </w:rPr>
        <w:drawing>
          <wp:inline distT="0" distB="0" distL="0" distR="0" wp14:anchorId="3CA3A5AC" wp14:editId="6D177BD1">
            <wp:extent cx="6094" cy="6093"/>
            <wp:effectExtent l="0" t="0" r="0" b="0"/>
            <wp:docPr id="100578" name="Picture 100578"/>
            <wp:cNvGraphicFramePr/>
            <a:graphic xmlns:a="http://schemas.openxmlformats.org/drawingml/2006/main">
              <a:graphicData uri="http://schemas.openxmlformats.org/drawingml/2006/picture">
                <pic:pic xmlns:pic="http://schemas.openxmlformats.org/drawingml/2006/picture">
                  <pic:nvPicPr>
                    <pic:cNvPr id="100578" name="Picture 100578"/>
                    <pic:cNvPicPr/>
                  </pic:nvPicPr>
                  <pic:blipFill>
                    <a:blip r:embed="rId62"/>
                    <a:stretch>
                      <a:fillRect/>
                    </a:stretch>
                  </pic:blipFill>
                  <pic:spPr>
                    <a:xfrm>
                      <a:off x="0" y="0"/>
                      <a:ext cx="6094" cy="6093"/>
                    </a:xfrm>
                    <a:prstGeom prst="rect">
                      <a:avLst/>
                    </a:prstGeom>
                  </pic:spPr>
                </pic:pic>
              </a:graphicData>
            </a:graphic>
          </wp:inline>
        </w:drawing>
      </w:r>
      <w:r w:rsidRPr="00165893">
        <w:rPr>
          <w:rFonts w:cstheme="minorHAnsi"/>
          <w:sz w:val="24"/>
          <w:szCs w:val="24"/>
        </w:rPr>
        <w:t xml:space="preserve">prowadzenie elastycznej polityki zmiennych składników wynagrodzenia, w tym obniżanie lub nie </w:t>
      </w:r>
      <w:r w:rsidRPr="00165893">
        <w:rPr>
          <w:rFonts w:cstheme="minorHAnsi"/>
          <w:noProof/>
          <w:sz w:val="24"/>
          <w:szCs w:val="24"/>
        </w:rPr>
        <w:drawing>
          <wp:inline distT="0" distB="0" distL="0" distR="0" wp14:anchorId="38F5F3F1" wp14:editId="4E9C377F">
            <wp:extent cx="6094" cy="121856"/>
            <wp:effectExtent l="0" t="0" r="0" b="0"/>
            <wp:docPr id="231492" name="Picture 231492"/>
            <wp:cNvGraphicFramePr/>
            <a:graphic xmlns:a="http://schemas.openxmlformats.org/drawingml/2006/main">
              <a:graphicData uri="http://schemas.openxmlformats.org/drawingml/2006/picture">
                <pic:pic xmlns:pic="http://schemas.openxmlformats.org/drawingml/2006/picture">
                  <pic:nvPicPr>
                    <pic:cNvPr id="231492" name="Picture 231492"/>
                    <pic:cNvPicPr/>
                  </pic:nvPicPr>
                  <pic:blipFill>
                    <a:blip r:embed="rId71"/>
                    <a:stretch>
                      <a:fillRect/>
                    </a:stretch>
                  </pic:blipFill>
                  <pic:spPr>
                    <a:xfrm>
                      <a:off x="0" y="0"/>
                      <a:ext cx="6094" cy="121856"/>
                    </a:xfrm>
                    <a:prstGeom prst="rect">
                      <a:avLst/>
                    </a:prstGeom>
                  </pic:spPr>
                </pic:pic>
              </a:graphicData>
            </a:graphic>
          </wp:inline>
        </w:drawing>
      </w:r>
      <w:r w:rsidRPr="00165893">
        <w:rPr>
          <w:rFonts w:cstheme="minorHAnsi"/>
          <w:sz w:val="24"/>
          <w:szCs w:val="24"/>
        </w:rPr>
        <w:t>przyznawanie w ogóle zmiennych składników wynagrodzenia.</w:t>
      </w:r>
    </w:p>
    <w:p w14:paraId="3A46C7CD" w14:textId="6FC083A1" w:rsidR="00446D0A" w:rsidRPr="00165893" w:rsidRDefault="00446D0A" w:rsidP="00165893">
      <w:pPr>
        <w:spacing w:line="360" w:lineRule="auto"/>
        <w:ind w:right="14"/>
        <w:jc w:val="both"/>
        <w:rPr>
          <w:rFonts w:cstheme="minorHAnsi"/>
          <w:sz w:val="24"/>
          <w:szCs w:val="24"/>
        </w:rPr>
      </w:pPr>
      <w:r w:rsidRPr="00165893">
        <w:rPr>
          <w:rFonts w:cstheme="minorHAnsi"/>
          <w:sz w:val="24"/>
          <w:szCs w:val="24"/>
        </w:rPr>
        <w:t xml:space="preserve">Polityka </w:t>
      </w:r>
      <w:r w:rsidR="002D5F46" w:rsidRPr="00165893">
        <w:rPr>
          <w:rFonts w:cstheme="minorHAnsi"/>
          <w:sz w:val="24"/>
          <w:szCs w:val="24"/>
        </w:rPr>
        <w:t>wy</w:t>
      </w:r>
      <w:r w:rsidRPr="00165893">
        <w:rPr>
          <w:rFonts w:cstheme="minorHAnsi"/>
          <w:sz w:val="24"/>
          <w:szCs w:val="24"/>
        </w:rPr>
        <w:t xml:space="preserve">nagrodzeń i wszelkie powiązane warunki zatrudnienia, które mają wpływ na wynagrodzenie </w:t>
      </w:r>
      <w:r w:rsidRPr="00165893">
        <w:rPr>
          <w:rFonts w:cstheme="minorHAnsi"/>
          <w:noProof/>
          <w:sz w:val="24"/>
          <w:szCs w:val="24"/>
        </w:rPr>
        <w:drawing>
          <wp:inline distT="0" distB="0" distL="0" distR="0" wp14:anchorId="5CF7C0E6" wp14:editId="27B01465">
            <wp:extent cx="6094" cy="6093"/>
            <wp:effectExtent l="0" t="0" r="0" b="0"/>
            <wp:docPr id="100583" name="Picture 100583"/>
            <wp:cNvGraphicFramePr/>
            <a:graphic xmlns:a="http://schemas.openxmlformats.org/drawingml/2006/main">
              <a:graphicData uri="http://schemas.openxmlformats.org/drawingml/2006/picture">
                <pic:pic xmlns:pic="http://schemas.openxmlformats.org/drawingml/2006/picture">
                  <pic:nvPicPr>
                    <pic:cNvPr id="100583" name="Picture 100583"/>
                    <pic:cNvPicPr/>
                  </pic:nvPicPr>
                  <pic:blipFill>
                    <a:blip r:embed="rId55"/>
                    <a:stretch>
                      <a:fillRect/>
                    </a:stretch>
                  </pic:blipFill>
                  <pic:spPr>
                    <a:xfrm>
                      <a:off x="0" y="0"/>
                      <a:ext cx="6094" cy="6093"/>
                    </a:xfrm>
                    <a:prstGeom prst="rect">
                      <a:avLst/>
                    </a:prstGeom>
                  </pic:spPr>
                </pic:pic>
              </a:graphicData>
            </a:graphic>
          </wp:inline>
        </w:drawing>
      </w:r>
      <w:r w:rsidRPr="00165893">
        <w:rPr>
          <w:rFonts w:cstheme="minorHAnsi"/>
          <w:sz w:val="24"/>
          <w:szCs w:val="24"/>
        </w:rPr>
        <w:t>pracowników, są neutralne pod względem płci</w:t>
      </w:r>
      <w:r w:rsidR="002D5F46" w:rsidRPr="00165893">
        <w:rPr>
          <w:rFonts w:cstheme="minorHAnsi"/>
          <w:sz w:val="24"/>
          <w:szCs w:val="24"/>
        </w:rPr>
        <w:t>.</w:t>
      </w:r>
    </w:p>
    <w:p w14:paraId="2347BA46" w14:textId="22A53691" w:rsidR="002D5F46" w:rsidRPr="00165893" w:rsidRDefault="002D5F46" w:rsidP="00165893">
      <w:pPr>
        <w:spacing w:line="360" w:lineRule="auto"/>
        <w:ind w:right="14"/>
        <w:jc w:val="both"/>
        <w:rPr>
          <w:rFonts w:cstheme="minorHAnsi"/>
          <w:sz w:val="24"/>
          <w:szCs w:val="24"/>
        </w:rPr>
      </w:pPr>
      <w:r w:rsidRPr="00165893">
        <w:rPr>
          <w:rFonts w:cstheme="minorHAnsi"/>
          <w:sz w:val="24"/>
          <w:szCs w:val="24"/>
        </w:rPr>
        <w:t>Wysokość wynagrodzenia członków Rady Nadzorczej ustala Zebranie Przedstawicieli. Bank nie wprowadza podziału wynagrodzenia członków Rady Nadzorczej na stałe składniki wynagrodzenia i zmienne składniki wynagrodzenia. Wysokość wynagrodzenia stałego i zmiennego dla członków Zarządu ustala Rada Nadzorcza</w:t>
      </w:r>
      <w:r w:rsidR="006A08C4">
        <w:rPr>
          <w:rFonts w:cstheme="minorHAnsi"/>
          <w:sz w:val="24"/>
          <w:szCs w:val="24"/>
        </w:rPr>
        <w:t>.</w:t>
      </w:r>
    </w:p>
    <w:p w14:paraId="486BC57C" w14:textId="77777777" w:rsidR="00446D0A" w:rsidRDefault="00446D0A" w:rsidP="002D5F46">
      <w:pPr>
        <w:pStyle w:val="Akapitzlist"/>
        <w:spacing w:after="29" w:line="259" w:lineRule="auto"/>
      </w:pPr>
      <w:r>
        <w:rPr>
          <w:noProof/>
        </w:rPr>
        <w:drawing>
          <wp:inline distT="0" distB="0" distL="0" distR="0" wp14:anchorId="406002AF" wp14:editId="3E53CBEA">
            <wp:extent cx="396107" cy="18279"/>
            <wp:effectExtent l="0" t="0" r="0" b="0"/>
            <wp:docPr id="100913" name="Picture 100913"/>
            <wp:cNvGraphicFramePr/>
            <a:graphic xmlns:a="http://schemas.openxmlformats.org/drawingml/2006/main">
              <a:graphicData uri="http://schemas.openxmlformats.org/drawingml/2006/picture">
                <pic:pic xmlns:pic="http://schemas.openxmlformats.org/drawingml/2006/picture">
                  <pic:nvPicPr>
                    <pic:cNvPr id="100913" name="Picture 100913"/>
                    <pic:cNvPicPr/>
                  </pic:nvPicPr>
                  <pic:blipFill>
                    <a:blip r:embed="rId72"/>
                    <a:stretch>
                      <a:fillRect/>
                    </a:stretch>
                  </pic:blipFill>
                  <pic:spPr>
                    <a:xfrm>
                      <a:off x="0" y="0"/>
                      <a:ext cx="396107" cy="18279"/>
                    </a:xfrm>
                    <a:prstGeom prst="rect">
                      <a:avLst/>
                    </a:prstGeom>
                  </pic:spPr>
                </pic:pic>
              </a:graphicData>
            </a:graphic>
          </wp:inline>
        </w:drawing>
      </w:r>
    </w:p>
    <w:p w14:paraId="2A7EAC69" w14:textId="45F7E9F3" w:rsidR="0064774F" w:rsidRPr="00927C88" w:rsidRDefault="006728B5" w:rsidP="0019554B">
      <w:pPr>
        <w:pStyle w:val="Nagwek2"/>
        <w:numPr>
          <w:ilvl w:val="0"/>
          <w:numId w:val="2"/>
        </w:numPr>
        <w:spacing w:line="360" w:lineRule="auto"/>
        <w:jc w:val="left"/>
        <w:rPr>
          <w:rFonts w:asciiTheme="minorHAnsi" w:hAnsiTheme="minorHAnsi" w:cstheme="minorHAnsi"/>
        </w:rPr>
      </w:pPr>
      <w:r w:rsidRPr="00927C88">
        <w:rPr>
          <w:rFonts w:asciiTheme="minorHAnsi" w:hAnsiTheme="minorHAnsi" w:cstheme="minorHAnsi"/>
        </w:rPr>
        <w:t>Ujawnienia informacji na podstawie Rekomendacji Z KNF</w:t>
      </w:r>
      <w:bookmarkEnd w:id="7"/>
    </w:p>
    <w:p w14:paraId="67BC7262" w14:textId="45DE9F39" w:rsidR="0064774F" w:rsidRPr="00927C88" w:rsidRDefault="0064774F" w:rsidP="006A08C4">
      <w:pPr>
        <w:pStyle w:val="Akapitzlist"/>
        <w:spacing w:after="0" w:line="360" w:lineRule="auto"/>
        <w:ind w:left="426"/>
        <w:jc w:val="both"/>
        <w:rPr>
          <w:rFonts w:cstheme="minorHAnsi"/>
          <w:sz w:val="24"/>
          <w:szCs w:val="24"/>
        </w:rPr>
      </w:pPr>
    </w:p>
    <w:p w14:paraId="1670139B" w14:textId="77777777" w:rsidR="00C5198F" w:rsidRPr="00927C88" w:rsidRDefault="00C5198F" w:rsidP="006A08C4">
      <w:pPr>
        <w:spacing w:line="360" w:lineRule="auto"/>
        <w:jc w:val="both"/>
        <w:rPr>
          <w:rFonts w:cstheme="minorHAnsi"/>
          <w:sz w:val="24"/>
          <w:szCs w:val="24"/>
        </w:rPr>
      </w:pPr>
      <w:r w:rsidRPr="00927C88">
        <w:rPr>
          <w:rFonts w:cstheme="minorHAnsi"/>
          <w:sz w:val="24"/>
          <w:szCs w:val="24"/>
        </w:rPr>
        <w:t xml:space="preserve">W niniejszej części Raportu Bank ujawnia informacje dotyczące: </w:t>
      </w:r>
    </w:p>
    <w:p w14:paraId="64ACDB9A" w14:textId="5A8070FE" w:rsidR="00C5198F" w:rsidRPr="00927C88" w:rsidRDefault="00C5198F" w:rsidP="006A08C4">
      <w:pPr>
        <w:spacing w:line="360" w:lineRule="auto"/>
        <w:jc w:val="both"/>
        <w:rPr>
          <w:rFonts w:cstheme="minorHAnsi"/>
          <w:sz w:val="24"/>
          <w:szCs w:val="24"/>
        </w:rPr>
      </w:pPr>
      <w:r w:rsidRPr="00927C88">
        <w:rPr>
          <w:rFonts w:cstheme="minorHAnsi"/>
          <w:sz w:val="24"/>
          <w:szCs w:val="24"/>
        </w:rPr>
        <w:t xml:space="preserve">1. przyjętej w Banku </w:t>
      </w:r>
      <w:r w:rsidR="00B67A4E">
        <w:rPr>
          <w:rFonts w:cstheme="minorHAnsi"/>
          <w:sz w:val="24"/>
          <w:szCs w:val="24"/>
        </w:rPr>
        <w:t>P</w:t>
      </w:r>
      <w:r w:rsidRPr="00927C88">
        <w:rPr>
          <w:rFonts w:cstheme="minorHAnsi"/>
          <w:sz w:val="24"/>
          <w:szCs w:val="24"/>
        </w:rPr>
        <w:t xml:space="preserve">olityki zarządzania konfliktami interesów, istotnych zidentyfikowanych i potencjalnych konfliktów interesów oraz sposobu nimi zarządzania, zgodnie z Rekomendacją Z nr 13.6; </w:t>
      </w:r>
    </w:p>
    <w:p w14:paraId="567188EC" w14:textId="77777777" w:rsidR="00C5198F" w:rsidRPr="00927C88" w:rsidRDefault="00C5198F" w:rsidP="006A08C4">
      <w:pPr>
        <w:pStyle w:val="Default"/>
        <w:spacing w:line="360" w:lineRule="auto"/>
        <w:jc w:val="both"/>
        <w:rPr>
          <w:rFonts w:asciiTheme="minorHAnsi" w:hAnsiTheme="minorHAnsi" w:cstheme="minorHAnsi"/>
          <w:color w:val="auto"/>
        </w:rPr>
      </w:pPr>
      <w:r w:rsidRPr="00927C88">
        <w:rPr>
          <w:rFonts w:asciiTheme="minorHAnsi" w:hAnsiTheme="minorHAnsi" w:cstheme="minorHAnsi"/>
          <w:color w:val="auto"/>
        </w:rPr>
        <w:t xml:space="preserve">2. określonego w zasadach wynagradzania w Banku, maksymalnego stosunku średniego całkowitego wynagrodzenia brutto członków zarządu w okresie rocznym do średniego </w:t>
      </w:r>
      <w:r w:rsidRPr="00927C88">
        <w:rPr>
          <w:rFonts w:asciiTheme="minorHAnsi" w:hAnsiTheme="minorHAnsi" w:cstheme="minorHAnsi"/>
          <w:color w:val="auto"/>
        </w:rPr>
        <w:lastRenderedPageBreak/>
        <w:t xml:space="preserve">całkowitego wynagrodzenia brutto pozostałych pracowników banku w okresie rocznym, zgodnie z Rekomendacją Z nr 30.1. </w:t>
      </w:r>
    </w:p>
    <w:p w14:paraId="2BD2253E" w14:textId="77777777" w:rsidR="00B557A1" w:rsidRPr="00927C88" w:rsidRDefault="00B557A1" w:rsidP="00825A59">
      <w:pPr>
        <w:pStyle w:val="Akapitzlist"/>
        <w:spacing w:after="0" w:line="360" w:lineRule="auto"/>
        <w:ind w:left="426"/>
        <w:rPr>
          <w:rFonts w:cstheme="minorHAnsi"/>
          <w:sz w:val="24"/>
          <w:szCs w:val="24"/>
        </w:rPr>
      </w:pPr>
    </w:p>
    <w:p w14:paraId="140A5282" w14:textId="77777777" w:rsidR="00C5198F" w:rsidRPr="00927C88" w:rsidRDefault="00C5198F" w:rsidP="006A08C4">
      <w:pPr>
        <w:spacing w:line="360" w:lineRule="auto"/>
        <w:jc w:val="both"/>
        <w:rPr>
          <w:rFonts w:cstheme="minorHAnsi"/>
          <w:b/>
          <w:bCs/>
          <w:sz w:val="24"/>
          <w:szCs w:val="24"/>
        </w:rPr>
      </w:pPr>
      <w:r w:rsidRPr="00927C88">
        <w:rPr>
          <w:rFonts w:cstheme="minorHAnsi"/>
          <w:b/>
          <w:bCs/>
          <w:sz w:val="24"/>
          <w:szCs w:val="24"/>
        </w:rPr>
        <w:t xml:space="preserve">Informacja dotycząca przyjętej Polityki zarządzania konfliktem interesów w Banku Spółdzielczym </w:t>
      </w:r>
      <w:r w:rsidRPr="00927C88">
        <w:rPr>
          <w:rFonts w:cstheme="minorHAnsi"/>
          <w:b/>
          <w:bCs/>
          <w:color w:val="EE0000"/>
          <w:sz w:val="24"/>
          <w:szCs w:val="24"/>
        </w:rPr>
        <w:t xml:space="preserve"> </w:t>
      </w:r>
      <w:r w:rsidRPr="00927C88">
        <w:rPr>
          <w:rFonts w:cstheme="minorHAnsi"/>
          <w:b/>
          <w:bCs/>
          <w:sz w:val="24"/>
          <w:szCs w:val="24"/>
        </w:rPr>
        <w:t xml:space="preserve"> w Żywcu. </w:t>
      </w:r>
    </w:p>
    <w:p w14:paraId="6B0C0D3B" w14:textId="77777777" w:rsidR="00C5198F" w:rsidRPr="00927C88" w:rsidRDefault="00C5198F" w:rsidP="006A08C4">
      <w:pPr>
        <w:spacing w:line="360" w:lineRule="auto"/>
        <w:jc w:val="both"/>
        <w:rPr>
          <w:rFonts w:cstheme="minorHAnsi"/>
          <w:sz w:val="24"/>
          <w:szCs w:val="24"/>
        </w:rPr>
      </w:pPr>
      <w:r w:rsidRPr="00927C88">
        <w:rPr>
          <w:rFonts w:cstheme="minorHAnsi"/>
          <w:sz w:val="24"/>
          <w:szCs w:val="24"/>
        </w:rPr>
        <w:t xml:space="preserve">Polityka zarządzania ryzykiem konfliktu interesów w Banku Spółdzielczym w Żywcu, określa zasady identyfikacji, zarządzania oraz zapobiegania ryzyku wynikającego z rzeczywistych oraz potencjalnych konfliktów interesów, a także zasady wyłączania z procesu decyzyjnego członka organu zarządzającego/ nadzorującego Banku, w przypadku zaistnienia konfliktu interesów lub potencjalnego konfliktu interesów. </w:t>
      </w:r>
    </w:p>
    <w:p w14:paraId="48647FA1" w14:textId="77777777" w:rsidR="00C5198F" w:rsidRPr="00927C88" w:rsidRDefault="00C5198F" w:rsidP="006A08C4">
      <w:pPr>
        <w:spacing w:line="360" w:lineRule="auto"/>
        <w:jc w:val="both"/>
        <w:rPr>
          <w:rFonts w:cstheme="minorHAnsi"/>
          <w:sz w:val="24"/>
          <w:szCs w:val="24"/>
        </w:rPr>
      </w:pPr>
      <w:r w:rsidRPr="00927C88">
        <w:rPr>
          <w:rFonts w:cstheme="minorHAnsi"/>
          <w:sz w:val="24"/>
          <w:szCs w:val="24"/>
        </w:rPr>
        <w:t>Celem Polityki zarządzania ryzykiem konfliktu interesów jest identyfikacja i ocena rzeczywistych oraz potencjalnych konfliktów między interesami Banku, a prywatnymi interesami pracowników lub członków organów Banku oraz osób trzecich powiązanych z pracownikami lub członkami organów, oraz ich minimalizacji lub zapobiegania ich występowaniu.</w:t>
      </w:r>
    </w:p>
    <w:p w14:paraId="52810C3E" w14:textId="77777777" w:rsidR="00C5198F" w:rsidRPr="00927C88" w:rsidRDefault="00C5198F" w:rsidP="00825A59">
      <w:pPr>
        <w:spacing w:line="360" w:lineRule="auto"/>
        <w:rPr>
          <w:rFonts w:cstheme="minorHAnsi"/>
          <w:sz w:val="24"/>
          <w:szCs w:val="24"/>
        </w:rPr>
      </w:pPr>
      <w:r w:rsidRPr="00927C88">
        <w:rPr>
          <w:rFonts w:cstheme="minorHAnsi"/>
          <w:sz w:val="24"/>
          <w:szCs w:val="24"/>
        </w:rPr>
        <w:t xml:space="preserve"> </w:t>
      </w:r>
      <w:r w:rsidRPr="00927C88">
        <w:rPr>
          <w:rFonts w:cstheme="minorHAnsi"/>
          <w:b/>
          <w:bCs/>
          <w:sz w:val="24"/>
          <w:szCs w:val="24"/>
        </w:rPr>
        <w:t>Zasady identyfikacji konfliktu interesów</w:t>
      </w:r>
      <w:r w:rsidRPr="00927C88">
        <w:rPr>
          <w:rFonts w:cstheme="minorHAnsi"/>
          <w:sz w:val="24"/>
          <w:szCs w:val="24"/>
        </w:rPr>
        <w:t xml:space="preserve"> </w:t>
      </w:r>
    </w:p>
    <w:p w14:paraId="3BBF8EAD"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Bank z uwagi na ochronę swoich interesów oraz konieczność przestrzegania prawa zarządza konfliktem interesów, które identyfikuje jako: </w:t>
      </w:r>
    </w:p>
    <w:p w14:paraId="3ED148C2"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1) konflikt interesów rzeczywisty - odnosi się do czynności wykonywanych w danej chwili, jeśli w trakcie ich wykonywania osoba podejmująca decyzję dostrzeże własne powiązanie z osobą, której dotyczy rezultat czynności, </w:t>
      </w:r>
    </w:p>
    <w:p w14:paraId="7DE10002"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2) konflikt interesów potencjalny - jeśli działalność (w tym dawna, np. fakt zatrudnienia w innym podmiocie, interesy gospodarcze danej osoby, powiązania osobiste, itp.) danej osoby może wpłynąć w przyszłości niewłaściwie na jej bezinteresowność, bądź bezstronność. </w:t>
      </w:r>
    </w:p>
    <w:p w14:paraId="3BCA3C25"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Z uwagi na charakter działalności Banku, podstawowe obszary ryzyka konfliktu interesów w Banku obejmują: </w:t>
      </w:r>
    </w:p>
    <w:p w14:paraId="5872352D"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1) konflikt dotyczący relacji i transakcji Banku z członkami organów, osobami na stanowiskach kierowniczych, w tym pełniącymi kluczowe funkcje, a także transakcji z podmiotami powiązanymi z członkami organów, osobami na stanowiskach kierowniczych, w tym pełniącymi kluczowe funkcje,</w:t>
      </w:r>
    </w:p>
    <w:p w14:paraId="306EE21B"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lastRenderedPageBreak/>
        <w:t xml:space="preserve"> 2) konflikt dotyczący transakcji Banku z pracownikami, a także z podmiotami powiązanymi (w tym personalnie) z pracownikami, </w:t>
      </w:r>
    </w:p>
    <w:p w14:paraId="28E4E8B9"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3) konflikt dotyczący powiązań personalnych w strukturze organizacyjnej Banku, </w:t>
      </w:r>
    </w:p>
    <w:p w14:paraId="70C0BC8C"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4) konflikt dotyczący zawierania transakcji z podmiotami powiązanymi z Bankiem,</w:t>
      </w:r>
    </w:p>
    <w:p w14:paraId="2D0E41AB"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5) konflikt dotyczący zawierania transakcji z różnymi klientami w sytuacji konfliktu interesów.</w:t>
      </w:r>
    </w:p>
    <w:p w14:paraId="16FA0BE0"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Konflikt interesów może dotyczyć relacji i transakcji: </w:t>
      </w:r>
    </w:p>
    <w:p w14:paraId="11A6402F"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1) między Bankiem, a: </w:t>
      </w:r>
    </w:p>
    <w:p w14:paraId="31F8FA35"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a) klientami (w rezultacie modelu handlowego lub różnych usług oferowanych przez Bank i prowadzonej przez niego działalności),</w:t>
      </w:r>
    </w:p>
    <w:p w14:paraId="37A38065"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b) udziałowcami,</w:t>
      </w:r>
    </w:p>
    <w:p w14:paraId="168184ED"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c) członkami Rady Nadzorczej i Zarządu, </w:t>
      </w:r>
    </w:p>
    <w:p w14:paraId="01D53099"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d) pracownikami lub ich osobami bliskimi lub osobami trzecimi, które mogą rodzić ryzyko wyłączenia obiektywizmu lub swobody w procesie podejmowania decyzji,</w:t>
      </w:r>
    </w:p>
    <w:p w14:paraId="6AB60F68"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e) istotnymi dostawcami lub partnerami biznesowymi, </w:t>
      </w:r>
    </w:p>
    <w:p w14:paraId="657A00F7"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f) innymi powiązanymi stronami niż wymienione powyżej (np. podmiotami zależnymi). </w:t>
      </w:r>
    </w:p>
    <w:p w14:paraId="14840210"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2) różnymi klientami Banku. </w:t>
      </w:r>
    </w:p>
    <w:p w14:paraId="274FDCBB" w14:textId="6ACBA050" w:rsidR="00C5198F" w:rsidRPr="00927C88" w:rsidRDefault="00C5198F" w:rsidP="006A08C4">
      <w:pPr>
        <w:spacing w:after="0" w:line="360" w:lineRule="auto"/>
        <w:jc w:val="both"/>
        <w:rPr>
          <w:rFonts w:cstheme="minorHAnsi"/>
          <w:sz w:val="24"/>
          <w:szCs w:val="24"/>
        </w:rPr>
      </w:pPr>
      <w:r w:rsidRPr="00927C88">
        <w:rPr>
          <w:rFonts w:cstheme="minorHAnsi"/>
          <w:sz w:val="24"/>
          <w:szCs w:val="24"/>
        </w:rPr>
        <w:t>Mechanizmy kontrolne w zakresie zarządzania ryzykiem konfliktu interesów obejmują</w:t>
      </w:r>
      <w:r w:rsidR="00B67A4E">
        <w:rPr>
          <w:rFonts w:cstheme="minorHAnsi"/>
          <w:sz w:val="24"/>
          <w:szCs w:val="24"/>
        </w:rPr>
        <w:t>:</w:t>
      </w:r>
    </w:p>
    <w:p w14:paraId="3DD3BF43" w14:textId="623C028C"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1) rozwiązania organizacyjne zmniejszające prawdopodobieństwo wystąpienie sytuacji powodujących konflikt interesów</w:t>
      </w:r>
      <w:r w:rsidR="00B67A4E">
        <w:rPr>
          <w:rFonts w:cstheme="minorHAnsi"/>
          <w:sz w:val="24"/>
          <w:szCs w:val="24"/>
        </w:rPr>
        <w:t>;</w:t>
      </w:r>
      <w:r w:rsidRPr="00927C88">
        <w:rPr>
          <w:rFonts w:cstheme="minorHAnsi"/>
          <w:sz w:val="24"/>
          <w:szCs w:val="24"/>
        </w:rPr>
        <w:t xml:space="preserve">  </w:t>
      </w:r>
    </w:p>
    <w:p w14:paraId="7F5D3232"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2) system zbierania, przekazywania i wykorzystania informacji w zakresie ryzyka wystąpienia konfliktu interesów zapewniający możliwość reakcji kierownictwa Banku na zaistniałe zagrożenia. </w:t>
      </w:r>
    </w:p>
    <w:p w14:paraId="355BA598"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W zakresie rozwiązań organizacyjnych w Banku stosuje się: </w:t>
      </w:r>
    </w:p>
    <w:p w14:paraId="17EC94C2"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1) pracownika lub Członka Zarządu, którego konflikt interesów dotyczy, wyłącza się od uczestniczenia w procesie decyzyjnym, w sprawie, której konflikt interesów dotyczy lub na którą wywiera wpływ, do czasu zakończenia się procesu decyzyjnego. Pracownik lub Członek Zarządu nie może reprezentować Banku na etapie wykonywania podjętych decyzji, w sprawach, w których uprzednio podlegał wyłączeniu; </w:t>
      </w:r>
    </w:p>
    <w:p w14:paraId="6A139677"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2) jeśli zdarzenia lub okoliczności wskazujące na istnienie konfliktu interesów dotyczą członka Rady Nadzorczej Banku, to przewodniczący Rady zobowiązany jest zastosować dostępne w Banku instrumenty prawne w celu wyłączenia od działania w pracach tego Członka Rady, którego okoliczności lub zdarzenia dotyczą; </w:t>
      </w:r>
    </w:p>
    <w:p w14:paraId="0C8031B8" w14:textId="0D046989" w:rsidR="00C5198F" w:rsidRPr="00927C88" w:rsidRDefault="00C5198F" w:rsidP="006A08C4">
      <w:pPr>
        <w:spacing w:after="0" w:line="360" w:lineRule="auto"/>
        <w:jc w:val="both"/>
        <w:rPr>
          <w:rFonts w:cstheme="minorHAnsi"/>
          <w:sz w:val="24"/>
          <w:szCs w:val="24"/>
        </w:rPr>
      </w:pPr>
      <w:r w:rsidRPr="00927C88">
        <w:rPr>
          <w:rFonts w:cstheme="minorHAnsi"/>
          <w:sz w:val="24"/>
          <w:szCs w:val="24"/>
        </w:rPr>
        <w:lastRenderedPageBreak/>
        <w:t>3) tworzenie i dokumentowanie zadań i schematów podległości służbowej zapewniające jednoznaczne określanie tych kompetencji oraz podległości w obszarze zarządzania operacjami i decyzyjności na różnych szczeblach organizacyjnych, zapobiegające przyporządkowaniu zakresu odpowiedzialności mogącemu prowadzić do konfliktu interesów, w tym ukrywania szkód, błędów lub niewłaściwych działań</w:t>
      </w:r>
      <w:r w:rsidR="00166F44">
        <w:rPr>
          <w:rFonts w:cstheme="minorHAnsi"/>
          <w:sz w:val="24"/>
          <w:szCs w:val="24"/>
        </w:rPr>
        <w:t>;</w:t>
      </w:r>
    </w:p>
    <w:p w14:paraId="2D001532" w14:textId="357047DD"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4) aktualizacja i dokonywanie przeglądów zarządczych regulacji wewnętrznych w zakresie struktury organizacyjnej, podziału zadań, systemu decyzyjnego, zapewniające identyfikację i wyeliminowanie potencjalnych konflikty interesów</w:t>
      </w:r>
      <w:r w:rsidR="00166F44">
        <w:rPr>
          <w:rFonts w:cstheme="minorHAnsi"/>
          <w:sz w:val="24"/>
          <w:szCs w:val="24"/>
        </w:rPr>
        <w:t>;</w:t>
      </w:r>
      <w:r w:rsidRPr="00927C88">
        <w:rPr>
          <w:rFonts w:cstheme="minorHAnsi"/>
          <w:sz w:val="24"/>
          <w:szCs w:val="24"/>
        </w:rPr>
        <w:t xml:space="preserve"> </w:t>
      </w:r>
    </w:p>
    <w:p w14:paraId="7739DF3A"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5) przyjęcie odpowiednich regulacji wewnętrznych dotyczących zawierania transakcji zapewniające unikanie konfliktu interesów i nadzór nad ich stosowaniem.</w:t>
      </w:r>
    </w:p>
    <w:p w14:paraId="02359987"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W zakresie systemu zbierania, przekazywania i wykorzystania informacji Bank wdrożył: </w:t>
      </w:r>
    </w:p>
    <w:p w14:paraId="5D4F816B"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1) obowiązek zgłaszania ryzyka konfliktu interesów przez członków organów Banku i pracowników, a także odpowiednio obowiązek powstrzymania się od decydowania lub zabierania głosu w danej sprawie (dotyczy to również sytuacji konfliktu interesów między Bankiem i klientem lub członkiem organu/pracownikiem i klientem), </w:t>
      </w:r>
    </w:p>
    <w:p w14:paraId="4E24DA9C" w14:textId="580593F0"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2) prowadzenie ewidencji dotyczącej przypadków zgłoszenia ryzyka konfliktu interesów, uzyskanych od członków organów lub pracowników lub też będące skutkiem przeglądu zarządczego przekazywanych do Stanowiska ds. </w:t>
      </w:r>
      <w:r w:rsidR="00FB7668">
        <w:rPr>
          <w:rFonts w:cstheme="minorHAnsi"/>
          <w:sz w:val="24"/>
          <w:szCs w:val="24"/>
        </w:rPr>
        <w:t>ryzyka braku zgodności</w:t>
      </w:r>
      <w:r w:rsidR="00473B06">
        <w:rPr>
          <w:rFonts w:cstheme="minorHAnsi"/>
          <w:sz w:val="24"/>
          <w:szCs w:val="24"/>
        </w:rPr>
        <w:t xml:space="preserve"> i kontroli wewnętrznej</w:t>
      </w:r>
      <w:r w:rsidRPr="00927C88">
        <w:rPr>
          <w:rFonts w:cstheme="minorHAnsi"/>
          <w:sz w:val="24"/>
          <w:szCs w:val="24"/>
        </w:rPr>
        <w:t>.</w:t>
      </w:r>
    </w:p>
    <w:p w14:paraId="18A0C795" w14:textId="77777777" w:rsidR="006A08C4" w:rsidRDefault="006A08C4" w:rsidP="006A08C4">
      <w:pPr>
        <w:spacing w:after="0" w:line="360" w:lineRule="auto"/>
        <w:jc w:val="both"/>
        <w:rPr>
          <w:rFonts w:cstheme="minorHAnsi"/>
          <w:b/>
          <w:bCs/>
          <w:sz w:val="24"/>
          <w:szCs w:val="24"/>
        </w:rPr>
      </w:pPr>
    </w:p>
    <w:p w14:paraId="76E3835C" w14:textId="594DCC3B" w:rsidR="00C5198F" w:rsidRPr="00927C88" w:rsidRDefault="00C5198F" w:rsidP="006A08C4">
      <w:pPr>
        <w:spacing w:after="0" w:line="360" w:lineRule="auto"/>
        <w:jc w:val="both"/>
        <w:rPr>
          <w:rFonts w:cstheme="minorHAnsi"/>
          <w:sz w:val="24"/>
          <w:szCs w:val="24"/>
        </w:rPr>
      </w:pPr>
      <w:r w:rsidRPr="00927C88">
        <w:rPr>
          <w:rFonts w:cstheme="minorHAnsi"/>
          <w:b/>
          <w:bCs/>
          <w:sz w:val="24"/>
          <w:szCs w:val="24"/>
        </w:rPr>
        <w:t xml:space="preserve"> Zasady w zakresie zapobiegania konfliktowi interesów</w:t>
      </w:r>
    </w:p>
    <w:p w14:paraId="113367D2"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1) osoby powiązane, w tym członkowie organów Banku, zobowiązani są do unikania działań, które mogą spowodować lub powodują możliwość wystąpienia konfliktu interesów;</w:t>
      </w:r>
    </w:p>
    <w:p w14:paraId="7C229F74"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2) członkowie zarządu oraz osoby pełniące kluczowe funkcje w Banku nie mogą pełnić dodatkowych funkcji w podmiocie zależnym lub innym podmiocie należącym do grupy, w której znajduje się Bank, jeżeli mogłoby to negatywnie wpłynąć na efektywność wykonywanych obowiązków w Banku, w szczególności nie gwarantowałoby poświęcania niezbędnej ilości czasu na wykonywanie funkcji w banku lub powodowałoby powstanie konfliktów interesów osłabiających niezależność osądu wobec funkcji pełnionej w banku; </w:t>
      </w:r>
    </w:p>
    <w:p w14:paraId="574C1FDF"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3) członkowie Zarządu Banku mogą zasiadać w organach innych podmiotów po uzyskaniu zgody Rady Nadzorczej Banku; </w:t>
      </w:r>
    </w:p>
    <w:p w14:paraId="1E6F9C3C" w14:textId="3A8E7CEB" w:rsidR="00C5198F" w:rsidRPr="00927C88" w:rsidRDefault="00C5198F" w:rsidP="006A08C4">
      <w:pPr>
        <w:spacing w:after="0" w:line="360" w:lineRule="auto"/>
        <w:jc w:val="both"/>
        <w:rPr>
          <w:rFonts w:cstheme="minorHAnsi"/>
          <w:sz w:val="24"/>
          <w:szCs w:val="24"/>
        </w:rPr>
      </w:pPr>
      <w:r w:rsidRPr="00927C88">
        <w:rPr>
          <w:rFonts w:cstheme="minorHAnsi"/>
          <w:sz w:val="24"/>
          <w:szCs w:val="24"/>
        </w:rPr>
        <w:lastRenderedPageBreak/>
        <w:t>4) obowiązkiem osoby powiązanej, w tym członka organu Banku oraz pracownika jest ujawnienie wszelkich spraw, które spowodowały lub mogą powodować konflikt interesu</w:t>
      </w:r>
      <w:r w:rsidR="00E7247E">
        <w:rPr>
          <w:rFonts w:cstheme="minorHAnsi"/>
          <w:sz w:val="24"/>
          <w:szCs w:val="24"/>
        </w:rPr>
        <w:t>,</w:t>
      </w:r>
      <w:r w:rsidRPr="00927C88">
        <w:rPr>
          <w:rFonts w:cstheme="minorHAnsi"/>
          <w:sz w:val="24"/>
          <w:szCs w:val="24"/>
        </w:rPr>
        <w:t xml:space="preserve"> dotyczy to też interesów ich najbliższych członków rodziny</w:t>
      </w:r>
      <w:r w:rsidR="00E7247E">
        <w:rPr>
          <w:rFonts w:cstheme="minorHAnsi"/>
          <w:sz w:val="24"/>
          <w:szCs w:val="24"/>
        </w:rPr>
        <w:t>,</w:t>
      </w:r>
      <w:r w:rsidRPr="00927C88">
        <w:rPr>
          <w:rFonts w:cstheme="minorHAnsi"/>
          <w:sz w:val="24"/>
          <w:szCs w:val="24"/>
        </w:rPr>
        <w:t xml:space="preserve"> powinno się odpowiednio uwzględniać fakt, że konflikty interesów mogą wynikać nie tylko z obecnych, ale także z przeszłych relacji osobistych lub zawodowych;</w:t>
      </w:r>
    </w:p>
    <w:p w14:paraId="3AC964B1" w14:textId="77777777" w:rsidR="00C5198F" w:rsidRPr="00927C88" w:rsidRDefault="00C5198F" w:rsidP="006A08C4">
      <w:pPr>
        <w:spacing w:after="0" w:line="360" w:lineRule="auto"/>
        <w:jc w:val="both"/>
        <w:rPr>
          <w:rFonts w:cstheme="minorHAnsi"/>
          <w:sz w:val="24"/>
          <w:szCs w:val="24"/>
        </w:rPr>
      </w:pPr>
      <w:bookmarkStart w:id="8" w:name="_Hlk199937253"/>
      <w:r w:rsidRPr="00927C88">
        <w:rPr>
          <w:rFonts w:cstheme="minorHAnsi"/>
          <w:sz w:val="24"/>
          <w:szCs w:val="24"/>
        </w:rPr>
        <w:t xml:space="preserve"> 5) obowiązkiem członka organu Banku lub pracownika jest wyłączenie się odpowiednio od głosowania lub podejmowania decyzji w sprawach, gdzie występuje konflikt interesu lub występuje inna możliwość niekorzystnego wpływu na poziom obiektywizmu podejmowanej decyzji, albo właściwej realizacji obowiązków wobec Banku;</w:t>
      </w:r>
    </w:p>
    <w:p w14:paraId="5B28AB4C"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6) w Banku stosowane są odpowiednie procedury zawierania transakcji z podmiotami zależnymi lub członkami organów Banku; </w:t>
      </w:r>
    </w:p>
    <w:p w14:paraId="42406A03"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7) w Banku stosowany jest podział zadań oraz procedury zapewniające zapobieganie konfliktowi interesów oraz ryzyku, wynikających z powiązań personalnych. </w:t>
      </w:r>
    </w:p>
    <w:p w14:paraId="3C2FC20B"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Bank ustala odpowiednie zasady zawierania przez Bank transakcji (regulacje wewnętrzne) dotyczące transakcji z: </w:t>
      </w:r>
    </w:p>
    <w:p w14:paraId="0F33E861" w14:textId="2D13712C" w:rsidR="00C5198F" w:rsidRPr="00927C88" w:rsidRDefault="00C5198F" w:rsidP="006A08C4">
      <w:pPr>
        <w:spacing w:after="0" w:line="360" w:lineRule="auto"/>
        <w:jc w:val="both"/>
        <w:rPr>
          <w:rFonts w:cstheme="minorHAnsi"/>
          <w:sz w:val="24"/>
          <w:szCs w:val="24"/>
        </w:rPr>
      </w:pPr>
      <w:r w:rsidRPr="00927C88">
        <w:rPr>
          <w:rFonts w:cstheme="minorHAnsi"/>
          <w:sz w:val="24"/>
          <w:szCs w:val="24"/>
        </w:rPr>
        <w:t>1) członkami organów, a także podmiotami powiązanymi z członkami organów i osobami na stanowiskach kierowniczych</w:t>
      </w:r>
      <w:r w:rsidR="00CA47CB">
        <w:rPr>
          <w:rFonts w:cstheme="minorHAnsi"/>
          <w:sz w:val="24"/>
          <w:szCs w:val="24"/>
        </w:rPr>
        <w:t>;</w:t>
      </w:r>
      <w:r w:rsidRPr="00927C88">
        <w:rPr>
          <w:rFonts w:cstheme="minorHAnsi"/>
          <w:sz w:val="24"/>
          <w:szCs w:val="24"/>
        </w:rPr>
        <w:t xml:space="preserve"> </w:t>
      </w:r>
    </w:p>
    <w:p w14:paraId="5566968C"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2) pracownikami, w tym pełniących kluczowe funkcje lub funkcje kierownicze, a także podmiotami powiązanymi kapitałowo lub organizacyjnie z tymi pracownikami; </w:t>
      </w:r>
    </w:p>
    <w:p w14:paraId="5BAA535F"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3) członkami Banku. </w:t>
      </w:r>
    </w:p>
    <w:p w14:paraId="304D4D89" w14:textId="77777777" w:rsidR="00C5198F" w:rsidRPr="00927C88" w:rsidRDefault="00C5198F" w:rsidP="006A08C4">
      <w:pPr>
        <w:spacing w:after="0" w:line="360" w:lineRule="auto"/>
        <w:jc w:val="both"/>
        <w:rPr>
          <w:rFonts w:cstheme="minorHAnsi"/>
          <w:sz w:val="24"/>
          <w:szCs w:val="24"/>
        </w:rPr>
      </w:pPr>
      <w:r w:rsidRPr="00927C88">
        <w:rPr>
          <w:rFonts w:cstheme="minorHAnsi"/>
          <w:sz w:val="24"/>
          <w:szCs w:val="24"/>
        </w:rPr>
        <w:t xml:space="preserve"> Stosowany jest podział zadań, decyzyjności i procedury zapewniające zapobieganie konfliktowi interesów oraz konfliktowi personalnemu, w szczególności w zakresie podejmowania decyzji i zawierania transakcji mogących rodzić konflikt interesów. </w:t>
      </w:r>
    </w:p>
    <w:bookmarkEnd w:id="8"/>
    <w:p w14:paraId="2BF4F725" w14:textId="77777777" w:rsidR="006A08C4" w:rsidRDefault="006A08C4" w:rsidP="00825A59">
      <w:pPr>
        <w:spacing w:line="360" w:lineRule="auto"/>
        <w:rPr>
          <w:rFonts w:cstheme="minorHAnsi"/>
          <w:b/>
          <w:bCs/>
          <w:sz w:val="24"/>
          <w:szCs w:val="24"/>
        </w:rPr>
      </w:pPr>
    </w:p>
    <w:p w14:paraId="20A45B6F" w14:textId="6B1551EE" w:rsidR="00C5198F" w:rsidRPr="00927C88" w:rsidRDefault="00C5198F" w:rsidP="00825A59">
      <w:pPr>
        <w:spacing w:line="360" w:lineRule="auto"/>
        <w:rPr>
          <w:rFonts w:cstheme="minorHAnsi"/>
          <w:sz w:val="24"/>
          <w:szCs w:val="24"/>
        </w:rPr>
      </w:pPr>
      <w:r w:rsidRPr="00927C88">
        <w:rPr>
          <w:rFonts w:cstheme="minorHAnsi"/>
          <w:b/>
          <w:bCs/>
          <w:sz w:val="24"/>
          <w:szCs w:val="24"/>
        </w:rPr>
        <w:t>Monitorowanie i raportowanie w zakresie ryzyka konfliktu interesów</w:t>
      </w:r>
      <w:r w:rsidRPr="00927C88">
        <w:rPr>
          <w:rFonts w:cstheme="minorHAnsi"/>
          <w:sz w:val="24"/>
          <w:szCs w:val="24"/>
        </w:rPr>
        <w:t xml:space="preserve"> </w:t>
      </w:r>
    </w:p>
    <w:p w14:paraId="5C5482EB" w14:textId="08D4FA87" w:rsidR="00C5198F" w:rsidRPr="00927C88" w:rsidRDefault="00C5198F" w:rsidP="006A08C4">
      <w:pPr>
        <w:spacing w:line="360" w:lineRule="auto"/>
        <w:jc w:val="both"/>
        <w:rPr>
          <w:rFonts w:cstheme="minorHAnsi"/>
          <w:sz w:val="24"/>
          <w:szCs w:val="24"/>
        </w:rPr>
      </w:pPr>
      <w:r w:rsidRPr="00927C88">
        <w:rPr>
          <w:rFonts w:cstheme="minorHAnsi"/>
          <w:sz w:val="24"/>
          <w:szCs w:val="24"/>
        </w:rPr>
        <w:t>Stanowisko ds.</w:t>
      </w:r>
      <w:r w:rsidR="00B50CC0">
        <w:rPr>
          <w:rFonts w:cstheme="minorHAnsi"/>
          <w:sz w:val="24"/>
          <w:szCs w:val="24"/>
        </w:rPr>
        <w:t xml:space="preserve"> ryzyka braku</w:t>
      </w:r>
      <w:r w:rsidRPr="00927C88">
        <w:rPr>
          <w:rFonts w:cstheme="minorHAnsi"/>
          <w:sz w:val="24"/>
          <w:szCs w:val="24"/>
        </w:rPr>
        <w:t xml:space="preserve"> zgodności </w:t>
      </w:r>
      <w:r w:rsidR="00B50CC0">
        <w:rPr>
          <w:rFonts w:cstheme="minorHAnsi"/>
          <w:sz w:val="24"/>
          <w:szCs w:val="24"/>
        </w:rPr>
        <w:t xml:space="preserve">i kontroli wewnętrznej </w:t>
      </w:r>
      <w:r w:rsidRPr="00927C88">
        <w:rPr>
          <w:rFonts w:cstheme="minorHAnsi"/>
          <w:sz w:val="24"/>
          <w:szCs w:val="24"/>
        </w:rPr>
        <w:t xml:space="preserve">dokonuje monitorowania ryzyka konfliktu interesów, poprzez odpowiednie testy zgodności monitorowania mechanizmów kontroli wewnętrznej (kontroli ryzyka). Stanowisko ds. </w:t>
      </w:r>
      <w:r w:rsidR="00B50CC0">
        <w:rPr>
          <w:rFonts w:cstheme="minorHAnsi"/>
          <w:sz w:val="24"/>
          <w:szCs w:val="24"/>
        </w:rPr>
        <w:t xml:space="preserve">ryzyka braku zgodności </w:t>
      </w:r>
      <w:r w:rsidRPr="00927C88">
        <w:rPr>
          <w:rFonts w:cstheme="minorHAnsi"/>
          <w:sz w:val="24"/>
          <w:szCs w:val="24"/>
        </w:rPr>
        <w:t xml:space="preserve">i </w:t>
      </w:r>
      <w:r w:rsidR="00B50CC0">
        <w:rPr>
          <w:rFonts w:cstheme="minorHAnsi"/>
          <w:sz w:val="24"/>
          <w:szCs w:val="24"/>
        </w:rPr>
        <w:t xml:space="preserve">kontroli wewnętrznej </w:t>
      </w:r>
      <w:r w:rsidRPr="00927C88">
        <w:rPr>
          <w:rFonts w:cstheme="minorHAnsi"/>
          <w:sz w:val="24"/>
          <w:szCs w:val="24"/>
        </w:rPr>
        <w:t xml:space="preserve">raportuje do Zarządu oraz Rady Nadzorczej wyniki testów zgodności w zakresie zgłoszonych przypadków ryzyka konfliktu interesów oraz testów dotyczących mechanizmów kontroli wewnętrznej. </w:t>
      </w:r>
    </w:p>
    <w:p w14:paraId="312F6A28" w14:textId="77777777" w:rsidR="00C5198F" w:rsidRPr="00927C88" w:rsidRDefault="00C5198F" w:rsidP="006A08C4">
      <w:pPr>
        <w:spacing w:line="360" w:lineRule="auto"/>
        <w:jc w:val="both"/>
        <w:rPr>
          <w:rFonts w:cstheme="minorHAnsi"/>
          <w:sz w:val="24"/>
          <w:szCs w:val="24"/>
        </w:rPr>
      </w:pPr>
      <w:r w:rsidRPr="00927C88">
        <w:rPr>
          <w:rFonts w:cstheme="minorHAnsi"/>
          <w:sz w:val="24"/>
          <w:szCs w:val="24"/>
        </w:rPr>
        <w:lastRenderedPageBreak/>
        <w:t xml:space="preserve">Rada Nadzorcza i Zarząd Banku zapewniają publiczne ujawnianie odpowiednich informacji dotyczących przyjętej w Banku polityki zarządzania konfliktami interesów oraz konfliktami, które mogłyby powstać z powodu przynależności Banku do grupy lub transakcji zawieranych przez Bank z innymi podmiotami w grupie. Publicznemu ujawnieniu nie mogą podlegać informacje objęte ochroną: stanowiące dane osobowe, tajemnicę bankową lub tajemnicę przedsiębiorstwa. Powyższe informacje, a także informacje o istnieniu w Banku takich potencjalnych konfliktów oraz ich zakresie, powinny być także przekazywane do Komisji Nadzoru Finansowego - a także do jednostki zarządzającej systemem ochrony. </w:t>
      </w:r>
    </w:p>
    <w:p w14:paraId="096F6C76" w14:textId="17445A63" w:rsidR="00B557A1" w:rsidRPr="00927C88" w:rsidRDefault="00C5198F" w:rsidP="006A08C4">
      <w:pPr>
        <w:pStyle w:val="Default"/>
        <w:suppressAutoHyphens/>
        <w:autoSpaceDE/>
        <w:autoSpaceDN/>
        <w:adjustRightInd/>
        <w:spacing w:line="360" w:lineRule="auto"/>
        <w:jc w:val="both"/>
        <w:rPr>
          <w:rFonts w:asciiTheme="minorHAnsi" w:hAnsiTheme="minorHAnsi" w:cstheme="minorHAnsi"/>
        </w:rPr>
      </w:pPr>
      <w:r w:rsidRPr="00927C88">
        <w:rPr>
          <w:rFonts w:asciiTheme="minorHAnsi" w:hAnsiTheme="minorHAnsi" w:cstheme="minorHAnsi"/>
        </w:rPr>
        <w:t>W 202</w:t>
      </w:r>
      <w:r w:rsidR="00DB5E7D">
        <w:rPr>
          <w:rFonts w:asciiTheme="minorHAnsi" w:hAnsiTheme="minorHAnsi" w:cstheme="minorHAnsi"/>
        </w:rPr>
        <w:t>5</w:t>
      </w:r>
      <w:r w:rsidRPr="00927C88">
        <w:rPr>
          <w:rFonts w:asciiTheme="minorHAnsi" w:hAnsiTheme="minorHAnsi" w:cstheme="minorHAnsi"/>
        </w:rPr>
        <w:t xml:space="preserve"> roku, w Banku nie stwierdzono przypadków wystąpienia ryzyka konfliktu interesów, nie zidentyfikowano rzeczywistych lub potencjalnych konfliktów interesów.</w:t>
      </w:r>
    </w:p>
    <w:p w14:paraId="2116C6CA" w14:textId="77777777" w:rsidR="00C5198F" w:rsidRPr="00927C88" w:rsidRDefault="00C5198F" w:rsidP="00825A59">
      <w:pPr>
        <w:pStyle w:val="Default"/>
        <w:suppressAutoHyphens/>
        <w:autoSpaceDE/>
        <w:autoSpaceDN/>
        <w:adjustRightInd/>
        <w:spacing w:line="360" w:lineRule="auto"/>
        <w:ind w:left="360"/>
        <w:rPr>
          <w:rFonts w:asciiTheme="minorHAnsi" w:hAnsiTheme="minorHAnsi" w:cstheme="minorHAnsi"/>
        </w:rPr>
      </w:pPr>
    </w:p>
    <w:p w14:paraId="50BBDFE4" w14:textId="105AB61A" w:rsidR="0064316A" w:rsidRPr="00927C88" w:rsidRDefault="00D93B96" w:rsidP="00825A59">
      <w:pPr>
        <w:autoSpaceDE w:val="0"/>
        <w:autoSpaceDN w:val="0"/>
        <w:adjustRightInd w:val="0"/>
        <w:spacing w:after="0" w:line="360" w:lineRule="auto"/>
        <w:jc w:val="both"/>
        <w:rPr>
          <w:rFonts w:cstheme="minorHAnsi"/>
          <w:b/>
          <w:bCs/>
          <w:color w:val="000000"/>
          <w:sz w:val="24"/>
          <w:szCs w:val="24"/>
        </w:rPr>
      </w:pPr>
      <w:r w:rsidRPr="00927C88">
        <w:rPr>
          <w:rFonts w:cstheme="minorHAnsi"/>
          <w:b/>
          <w:bCs/>
          <w:sz w:val="24"/>
          <w:szCs w:val="24"/>
        </w:rPr>
        <w:t>Maksymalny stosunek średniego całkowitego wynagrodzenia brutto Członków Zarządu w okresie rocznym do średniego całkowitego wynagrodzenia brutto pozostałych pracowników Banku w okresie rocznym</w:t>
      </w:r>
    </w:p>
    <w:p w14:paraId="36466EE2" w14:textId="77777777" w:rsidR="00B557A1" w:rsidRPr="00927C88" w:rsidRDefault="00B557A1" w:rsidP="00825A59">
      <w:pPr>
        <w:autoSpaceDE w:val="0"/>
        <w:autoSpaceDN w:val="0"/>
        <w:adjustRightInd w:val="0"/>
        <w:spacing w:after="0" w:line="360" w:lineRule="auto"/>
        <w:jc w:val="both"/>
        <w:rPr>
          <w:rFonts w:cstheme="minorHAnsi"/>
          <w:color w:val="000000"/>
          <w:sz w:val="24"/>
          <w:szCs w:val="24"/>
        </w:rPr>
      </w:pPr>
    </w:p>
    <w:p w14:paraId="16404DD6" w14:textId="2F5624E0" w:rsidR="00D93B96" w:rsidRPr="00927C88" w:rsidRDefault="00D93B96" w:rsidP="006A08C4">
      <w:pPr>
        <w:pStyle w:val="Default"/>
        <w:spacing w:line="360" w:lineRule="auto"/>
        <w:jc w:val="both"/>
        <w:rPr>
          <w:rFonts w:asciiTheme="minorHAnsi" w:hAnsiTheme="minorHAnsi" w:cstheme="minorHAnsi"/>
          <w:strike/>
        </w:rPr>
      </w:pPr>
      <w:r w:rsidRPr="00927C88">
        <w:rPr>
          <w:rFonts w:asciiTheme="minorHAnsi" w:hAnsiTheme="minorHAnsi" w:cstheme="minorHAnsi"/>
        </w:rPr>
        <w:t xml:space="preserve">Bank ustalił </w:t>
      </w:r>
      <w:r w:rsidRPr="00927C88">
        <w:rPr>
          <w:rFonts w:asciiTheme="minorHAnsi" w:hAnsiTheme="minorHAnsi" w:cstheme="minorHAnsi"/>
          <w:color w:val="auto"/>
        </w:rPr>
        <w:t xml:space="preserve">w Polityce </w:t>
      </w:r>
      <w:r w:rsidRPr="00927C88">
        <w:rPr>
          <w:rFonts w:asciiTheme="minorHAnsi" w:hAnsiTheme="minorHAnsi" w:cstheme="minorHAnsi"/>
          <w:i/>
          <w:iCs/>
          <w:color w:val="auto"/>
        </w:rPr>
        <w:t> </w:t>
      </w:r>
      <w:r w:rsidRPr="00927C88">
        <w:rPr>
          <w:rFonts w:asciiTheme="minorHAnsi" w:hAnsiTheme="minorHAnsi" w:cstheme="minorHAnsi"/>
          <w:color w:val="auto"/>
        </w:rPr>
        <w:t>wynagradzania w Banku Spółdzielczym w Żywcu</w:t>
      </w:r>
      <w:r w:rsidRPr="00927C88">
        <w:rPr>
          <w:rFonts w:asciiTheme="minorHAnsi" w:hAnsiTheme="minorHAnsi" w:cstheme="minorHAnsi"/>
          <w:i/>
          <w:iCs/>
          <w:color w:val="auto"/>
        </w:rPr>
        <w:t xml:space="preserve">  </w:t>
      </w:r>
      <w:r w:rsidRPr="00927C88">
        <w:rPr>
          <w:rFonts w:asciiTheme="minorHAnsi" w:hAnsiTheme="minorHAnsi" w:cstheme="minorHAnsi"/>
        </w:rPr>
        <w:t xml:space="preserve">maksymalny stosunek średniego całkowitego wynagrodzenia brutto Członków Zarządu w okresie rocznym do średniego całkowitego wynagrodzenia brutto pozostałych pracowników w okresie rocznym – stosunek ten nie może przekraczać </w:t>
      </w:r>
      <w:r w:rsidRPr="00927C88">
        <w:rPr>
          <w:rFonts w:asciiTheme="minorHAnsi" w:hAnsiTheme="minorHAnsi" w:cstheme="minorHAnsi"/>
          <w:color w:val="000000" w:themeColor="text1"/>
        </w:rPr>
        <w:t>550</w:t>
      </w:r>
      <w:r w:rsidRPr="00927C88">
        <w:rPr>
          <w:rFonts w:asciiTheme="minorHAnsi" w:hAnsiTheme="minorHAnsi" w:cstheme="minorHAnsi"/>
          <w:color w:val="EE0000"/>
        </w:rPr>
        <w:t xml:space="preserve"> </w:t>
      </w:r>
      <w:r w:rsidRPr="00927C88">
        <w:rPr>
          <w:rFonts w:asciiTheme="minorHAnsi" w:hAnsiTheme="minorHAnsi" w:cstheme="minorHAnsi"/>
          <w:color w:val="000000" w:themeColor="text1"/>
        </w:rPr>
        <w:t>%</w:t>
      </w:r>
      <w:r w:rsidRPr="00927C88">
        <w:rPr>
          <w:rFonts w:asciiTheme="minorHAnsi" w:hAnsiTheme="minorHAnsi" w:cstheme="minorHAnsi"/>
          <w:color w:val="EE0000"/>
        </w:rPr>
        <w:t xml:space="preserve"> </w:t>
      </w:r>
      <w:r w:rsidRPr="00927C88">
        <w:rPr>
          <w:rFonts w:asciiTheme="minorHAnsi" w:hAnsiTheme="minorHAnsi" w:cstheme="minorHAnsi"/>
        </w:rPr>
        <w:t>za 202</w:t>
      </w:r>
      <w:r w:rsidR="00CA23B9" w:rsidRPr="00927C88">
        <w:rPr>
          <w:rFonts w:asciiTheme="minorHAnsi" w:hAnsiTheme="minorHAnsi" w:cstheme="minorHAnsi"/>
        </w:rPr>
        <w:t>5</w:t>
      </w:r>
      <w:r w:rsidRPr="00927C88">
        <w:rPr>
          <w:rFonts w:asciiTheme="minorHAnsi" w:hAnsiTheme="minorHAnsi" w:cstheme="minorHAnsi"/>
        </w:rPr>
        <w:t xml:space="preserve"> rok wskaźnik ten </w:t>
      </w:r>
      <w:r w:rsidRPr="00927C88">
        <w:rPr>
          <w:rFonts w:asciiTheme="minorHAnsi" w:hAnsiTheme="minorHAnsi" w:cstheme="minorHAnsi"/>
          <w:color w:val="auto"/>
        </w:rPr>
        <w:t>nie uległ przekroczeniu.</w:t>
      </w:r>
    </w:p>
    <w:p w14:paraId="7C86152F" w14:textId="3BF6D11A" w:rsidR="00040637" w:rsidRPr="00927C88" w:rsidRDefault="00D93B96" w:rsidP="006A08C4">
      <w:pPr>
        <w:pStyle w:val="Tekstpodstawowy2"/>
        <w:spacing w:line="360" w:lineRule="auto"/>
        <w:rPr>
          <w:rFonts w:asciiTheme="minorHAnsi" w:eastAsiaTheme="minorHAnsi" w:hAnsiTheme="minorHAnsi" w:cstheme="minorHAnsi"/>
          <w:color w:val="000000"/>
          <w:lang w:eastAsia="en-US"/>
        </w:rPr>
      </w:pPr>
      <w:r w:rsidRPr="00927C88">
        <w:rPr>
          <w:rFonts w:asciiTheme="minorHAnsi" w:hAnsiTheme="minorHAnsi" w:cstheme="minorHAnsi"/>
        </w:rPr>
        <w:t>Stosunek ten został ustalony na poziomie umożliwiającym skuteczne wykonywanie zadań przez pracowników Banku, z uwzględnieniem potrzeby ostrożnego i stabilnego zarządzania Bankiem</w:t>
      </w:r>
      <w:r w:rsidR="0064316A" w:rsidRPr="00927C88">
        <w:rPr>
          <w:rFonts w:asciiTheme="minorHAnsi" w:eastAsiaTheme="minorHAnsi" w:hAnsiTheme="minorHAnsi" w:cstheme="minorHAnsi"/>
          <w:color w:val="000000"/>
          <w:lang w:eastAsia="en-US"/>
        </w:rPr>
        <w:t>.</w:t>
      </w:r>
    </w:p>
    <w:p w14:paraId="2C2733A5" w14:textId="11376842" w:rsidR="006728B5" w:rsidRPr="00927C88" w:rsidRDefault="006728B5" w:rsidP="00825A59">
      <w:pPr>
        <w:pStyle w:val="Akapitzlist"/>
        <w:spacing w:after="0" w:line="360" w:lineRule="auto"/>
        <w:ind w:left="426"/>
        <w:rPr>
          <w:rFonts w:cstheme="minorHAnsi"/>
          <w:sz w:val="24"/>
          <w:szCs w:val="24"/>
        </w:rPr>
      </w:pPr>
    </w:p>
    <w:p w14:paraId="715F0C2B" w14:textId="71958144" w:rsidR="00E26D42" w:rsidRDefault="00E47A5E" w:rsidP="00E26D42">
      <w:pPr>
        <w:pStyle w:val="Nagwek2"/>
        <w:numPr>
          <w:ilvl w:val="0"/>
          <w:numId w:val="2"/>
        </w:numPr>
        <w:spacing w:line="360" w:lineRule="auto"/>
        <w:jc w:val="left"/>
        <w:rPr>
          <w:rFonts w:asciiTheme="minorHAnsi" w:hAnsiTheme="minorHAnsi" w:cstheme="minorHAnsi"/>
        </w:rPr>
      </w:pPr>
      <w:r>
        <w:rPr>
          <w:rFonts w:asciiTheme="minorHAnsi" w:hAnsiTheme="minorHAnsi" w:cstheme="minorHAnsi"/>
        </w:rPr>
        <w:t>Informacje o spełnieniu przez Członków Rady Nadzorczej i Zarządu wymogów określonych w art.22aa Ustawy Prawo bankowe</w:t>
      </w:r>
    </w:p>
    <w:p w14:paraId="0D184181" w14:textId="081A2071" w:rsidR="00E26D42" w:rsidRPr="008D0A7D" w:rsidRDefault="008D0A7D" w:rsidP="006A08C4">
      <w:pPr>
        <w:spacing w:after="120" w:line="360" w:lineRule="auto"/>
        <w:jc w:val="both"/>
        <w:rPr>
          <w:sz w:val="24"/>
          <w:szCs w:val="24"/>
        </w:rPr>
      </w:pPr>
      <w:r w:rsidRPr="008D0A7D">
        <w:rPr>
          <w:sz w:val="24"/>
          <w:szCs w:val="24"/>
        </w:rPr>
        <w:t xml:space="preserve">Oceny odpowiedniości poszczególnych członków Zarządu oraz Zarządu Banku dokonała Rada Nadzorcza Banku Spółdzielczego w Żywcu. Wszyscy członkowie Zarządu Banku oraz Zarząd Banku jako organ kolegialny, uzyskali pozytywną ocenę w zakresie odpowiedniości. Członkowie Zarządu oraz Zarząd Banku posiadają kwalifikacje, wiedzę, doświadczenie i umiejętności niezbędne do prowadzenia działalności Banku </w:t>
      </w:r>
      <w:r w:rsidRPr="008D0A7D">
        <w:rPr>
          <w:noProof/>
          <w:sz w:val="24"/>
          <w:szCs w:val="24"/>
        </w:rPr>
        <w:drawing>
          <wp:inline distT="0" distB="0" distL="0" distR="0" wp14:anchorId="6A63E180" wp14:editId="14CEE93C">
            <wp:extent cx="18282" cy="67021"/>
            <wp:effectExtent l="0" t="0" r="0" b="0"/>
            <wp:docPr id="231656" name="Picture 231656"/>
            <wp:cNvGraphicFramePr/>
            <a:graphic xmlns:a="http://schemas.openxmlformats.org/drawingml/2006/main">
              <a:graphicData uri="http://schemas.openxmlformats.org/drawingml/2006/picture">
                <pic:pic xmlns:pic="http://schemas.openxmlformats.org/drawingml/2006/picture">
                  <pic:nvPicPr>
                    <pic:cNvPr id="231656" name="Picture 231656"/>
                    <pic:cNvPicPr/>
                  </pic:nvPicPr>
                  <pic:blipFill>
                    <a:blip r:embed="rId73"/>
                    <a:stretch>
                      <a:fillRect/>
                    </a:stretch>
                  </pic:blipFill>
                  <pic:spPr>
                    <a:xfrm>
                      <a:off x="0" y="0"/>
                      <a:ext cx="18282" cy="67021"/>
                    </a:xfrm>
                    <a:prstGeom prst="rect">
                      <a:avLst/>
                    </a:prstGeom>
                  </pic:spPr>
                </pic:pic>
              </a:graphicData>
            </a:graphic>
          </wp:inline>
        </w:drawing>
      </w:r>
      <w:r w:rsidRPr="008D0A7D">
        <w:rPr>
          <w:sz w:val="24"/>
          <w:szCs w:val="24"/>
        </w:rPr>
        <w:t xml:space="preserve">z zachowaniem bezpieczeństwa </w:t>
      </w:r>
      <w:r w:rsidRPr="008D0A7D">
        <w:rPr>
          <w:sz w:val="24"/>
          <w:szCs w:val="24"/>
        </w:rPr>
        <w:lastRenderedPageBreak/>
        <w:t>depozytów w nim zgromadzonych oraz dają rękojmię ostrożnego i stabilnego zarządzania Bankiem.</w:t>
      </w:r>
      <w:r w:rsidRPr="008D0A7D">
        <w:rPr>
          <w:noProof/>
          <w:sz w:val="24"/>
          <w:szCs w:val="24"/>
        </w:rPr>
        <w:drawing>
          <wp:inline distT="0" distB="0" distL="0" distR="0" wp14:anchorId="60D64E54" wp14:editId="1887DAD0">
            <wp:extent cx="12188" cy="18280"/>
            <wp:effectExtent l="0" t="0" r="0" b="0"/>
            <wp:docPr id="139990" name="Picture 139990"/>
            <wp:cNvGraphicFramePr/>
            <a:graphic xmlns:a="http://schemas.openxmlformats.org/drawingml/2006/main">
              <a:graphicData uri="http://schemas.openxmlformats.org/drawingml/2006/picture">
                <pic:pic xmlns:pic="http://schemas.openxmlformats.org/drawingml/2006/picture">
                  <pic:nvPicPr>
                    <pic:cNvPr id="139990" name="Picture 139990"/>
                    <pic:cNvPicPr/>
                  </pic:nvPicPr>
                  <pic:blipFill>
                    <a:blip r:embed="rId74"/>
                    <a:stretch>
                      <a:fillRect/>
                    </a:stretch>
                  </pic:blipFill>
                  <pic:spPr>
                    <a:xfrm>
                      <a:off x="0" y="0"/>
                      <a:ext cx="12188" cy="18280"/>
                    </a:xfrm>
                    <a:prstGeom prst="rect">
                      <a:avLst/>
                    </a:prstGeom>
                  </pic:spPr>
                </pic:pic>
              </a:graphicData>
            </a:graphic>
          </wp:inline>
        </w:drawing>
      </w:r>
    </w:p>
    <w:p w14:paraId="635F5B0A" w14:textId="3DAE4CCE" w:rsidR="008D0A7D" w:rsidRPr="008D0A7D" w:rsidRDefault="008D0A7D" w:rsidP="006A08C4">
      <w:pPr>
        <w:spacing w:after="120" w:line="360" w:lineRule="auto"/>
        <w:ind w:left="14" w:right="14"/>
        <w:jc w:val="both"/>
        <w:rPr>
          <w:sz w:val="24"/>
          <w:szCs w:val="24"/>
        </w:rPr>
      </w:pPr>
      <w:r w:rsidRPr="008D0A7D">
        <w:rPr>
          <w:sz w:val="24"/>
          <w:szCs w:val="24"/>
        </w:rPr>
        <w:t xml:space="preserve">Oceny odpowiedniości członków Rady Nadzorczej i Rady Nadzorczej jako organu kolegialnego dokonało </w:t>
      </w:r>
      <w:r w:rsidRPr="008D0A7D">
        <w:rPr>
          <w:noProof/>
          <w:sz w:val="24"/>
          <w:szCs w:val="24"/>
        </w:rPr>
        <w:drawing>
          <wp:inline distT="0" distB="0" distL="0" distR="0" wp14:anchorId="620E9653" wp14:editId="64A9DE65">
            <wp:extent cx="6093" cy="6093"/>
            <wp:effectExtent l="0" t="0" r="0" b="0"/>
            <wp:docPr id="139991" name="Picture 139991"/>
            <wp:cNvGraphicFramePr/>
            <a:graphic xmlns:a="http://schemas.openxmlformats.org/drawingml/2006/main">
              <a:graphicData uri="http://schemas.openxmlformats.org/drawingml/2006/picture">
                <pic:pic xmlns:pic="http://schemas.openxmlformats.org/drawingml/2006/picture">
                  <pic:nvPicPr>
                    <pic:cNvPr id="139991" name="Picture 139991"/>
                    <pic:cNvPicPr/>
                  </pic:nvPicPr>
                  <pic:blipFill>
                    <a:blip r:embed="rId38"/>
                    <a:stretch>
                      <a:fillRect/>
                    </a:stretch>
                  </pic:blipFill>
                  <pic:spPr>
                    <a:xfrm>
                      <a:off x="0" y="0"/>
                      <a:ext cx="6093" cy="6093"/>
                    </a:xfrm>
                    <a:prstGeom prst="rect">
                      <a:avLst/>
                    </a:prstGeom>
                  </pic:spPr>
                </pic:pic>
              </a:graphicData>
            </a:graphic>
          </wp:inline>
        </w:drawing>
      </w:r>
      <w:r w:rsidRPr="008D0A7D">
        <w:rPr>
          <w:sz w:val="24"/>
          <w:szCs w:val="24"/>
        </w:rPr>
        <w:t>Zebranie Przedstawicieli Banku Spółdzielczego w Żywcu.</w:t>
      </w:r>
    </w:p>
    <w:p w14:paraId="21E4D8D6" w14:textId="1BD3CCC3" w:rsidR="008D0A7D" w:rsidRPr="008D0A7D" w:rsidRDefault="008D0A7D" w:rsidP="006A08C4">
      <w:pPr>
        <w:spacing w:after="120" w:line="360" w:lineRule="auto"/>
        <w:jc w:val="both"/>
        <w:rPr>
          <w:sz w:val="24"/>
          <w:szCs w:val="24"/>
          <w:lang w:eastAsia="zh-CN"/>
        </w:rPr>
      </w:pPr>
      <w:r w:rsidRPr="008D0A7D">
        <w:rPr>
          <w:sz w:val="24"/>
          <w:szCs w:val="24"/>
        </w:rPr>
        <w:t xml:space="preserve">Wszyscy członkowie Rady Nadzorczej oraz Rada Nadzorcza jako organ kolegialny uzyskali pozytywną ocenę </w:t>
      </w:r>
      <w:r w:rsidRPr="008D0A7D">
        <w:rPr>
          <w:noProof/>
          <w:sz w:val="24"/>
          <w:szCs w:val="24"/>
        </w:rPr>
        <w:drawing>
          <wp:inline distT="0" distB="0" distL="0" distR="0" wp14:anchorId="63C5A646" wp14:editId="3088C69D">
            <wp:extent cx="12188" cy="6093"/>
            <wp:effectExtent l="0" t="0" r="0" b="0"/>
            <wp:docPr id="139992" name="Picture 139992"/>
            <wp:cNvGraphicFramePr/>
            <a:graphic xmlns:a="http://schemas.openxmlformats.org/drawingml/2006/main">
              <a:graphicData uri="http://schemas.openxmlformats.org/drawingml/2006/picture">
                <pic:pic xmlns:pic="http://schemas.openxmlformats.org/drawingml/2006/picture">
                  <pic:nvPicPr>
                    <pic:cNvPr id="139992" name="Picture 139992"/>
                    <pic:cNvPicPr/>
                  </pic:nvPicPr>
                  <pic:blipFill>
                    <a:blip r:embed="rId75"/>
                    <a:stretch>
                      <a:fillRect/>
                    </a:stretch>
                  </pic:blipFill>
                  <pic:spPr>
                    <a:xfrm>
                      <a:off x="0" y="0"/>
                      <a:ext cx="12188" cy="6093"/>
                    </a:xfrm>
                    <a:prstGeom prst="rect">
                      <a:avLst/>
                    </a:prstGeom>
                  </pic:spPr>
                </pic:pic>
              </a:graphicData>
            </a:graphic>
          </wp:inline>
        </w:drawing>
      </w:r>
      <w:r w:rsidRPr="008D0A7D">
        <w:rPr>
          <w:sz w:val="24"/>
          <w:szCs w:val="24"/>
        </w:rPr>
        <w:t>w zakresie odpowiedniości. Członkowie Rady Nadzorczej Banku oraz Rada Nadzorcza jako organ kolegialny posiadają wiedzę, doświadczenie i umiejętności pozwalające na należyte wykonywanie czynności nadzorczych, a ich reputacja  nie stwarza zagrożenia dla utraty reputacji Banku Spółdzielczego w Żywcu.</w:t>
      </w:r>
    </w:p>
    <w:p w14:paraId="383FC68D" w14:textId="77777777" w:rsidR="00E26D42" w:rsidRPr="00E26D42" w:rsidRDefault="00E26D42" w:rsidP="00E26D42">
      <w:pPr>
        <w:rPr>
          <w:lang w:eastAsia="zh-CN"/>
        </w:rPr>
      </w:pPr>
    </w:p>
    <w:p w14:paraId="4542904E" w14:textId="70FE58C4" w:rsidR="00E26D42" w:rsidRPr="00927C88" w:rsidRDefault="00E26D42" w:rsidP="00E26D42">
      <w:pPr>
        <w:pStyle w:val="Nagwek2"/>
        <w:numPr>
          <w:ilvl w:val="0"/>
          <w:numId w:val="2"/>
        </w:numPr>
        <w:spacing w:line="360" w:lineRule="auto"/>
        <w:jc w:val="left"/>
        <w:rPr>
          <w:rFonts w:asciiTheme="minorHAnsi" w:hAnsiTheme="minorHAnsi" w:cstheme="minorHAnsi"/>
        </w:rPr>
      </w:pPr>
      <w:r>
        <w:rPr>
          <w:rFonts w:asciiTheme="minorHAnsi" w:hAnsiTheme="minorHAnsi" w:cstheme="minorHAnsi"/>
        </w:rPr>
        <w:t>Oświadczenie Zarządu Banku Spółdzielczego w Żywcu</w:t>
      </w:r>
    </w:p>
    <w:p w14:paraId="6577D83A" w14:textId="77777777" w:rsidR="004E0D7F" w:rsidRDefault="006753F1" w:rsidP="006A08C4">
      <w:pPr>
        <w:spacing w:line="360" w:lineRule="auto"/>
        <w:jc w:val="both"/>
        <w:rPr>
          <w:rFonts w:cstheme="minorHAnsi"/>
          <w:color w:val="000000"/>
          <w:sz w:val="24"/>
          <w:szCs w:val="24"/>
        </w:rPr>
      </w:pPr>
      <w:r w:rsidRPr="00927C88">
        <w:rPr>
          <w:rFonts w:cstheme="minorHAnsi"/>
          <w:color w:val="000000"/>
          <w:sz w:val="24"/>
          <w:szCs w:val="24"/>
        </w:rPr>
        <w:t>Zarząd Banku Spółdzielczego w Żywcu</w:t>
      </w:r>
      <w:r w:rsidR="004E0D7F">
        <w:rPr>
          <w:rFonts w:cstheme="minorHAnsi"/>
          <w:color w:val="000000"/>
          <w:sz w:val="24"/>
          <w:szCs w:val="24"/>
        </w:rPr>
        <w:t>:</w:t>
      </w:r>
    </w:p>
    <w:p w14:paraId="7792D6D0" w14:textId="0DAECBC9" w:rsidR="004E0D7F" w:rsidRPr="004E0D7F" w:rsidRDefault="004E0D7F" w:rsidP="006A08C4">
      <w:pPr>
        <w:pStyle w:val="Akapitzlist"/>
        <w:numPr>
          <w:ilvl w:val="0"/>
          <w:numId w:val="22"/>
        </w:numPr>
        <w:spacing w:line="360" w:lineRule="auto"/>
        <w:jc w:val="both"/>
        <w:rPr>
          <w:rFonts w:cstheme="minorHAnsi"/>
          <w:color w:val="000000"/>
          <w:sz w:val="24"/>
          <w:szCs w:val="24"/>
        </w:rPr>
      </w:pPr>
      <w:r>
        <w:t xml:space="preserve">oświadcza, że według jego najlepszej wiedzy, niniejszy Raport został przygotowany zgodnie </w:t>
      </w:r>
      <w:r>
        <w:rPr>
          <w:noProof/>
        </w:rPr>
        <w:drawing>
          <wp:inline distT="0" distB="0" distL="0" distR="0" wp14:anchorId="0A990C75" wp14:editId="2C7F883F">
            <wp:extent cx="6094" cy="79207"/>
            <wp:effectExtent l="0" t="0" r="0" b="0"/>
            <wp:docPr id="231665" name="Picture 231665"/>
            <wp:cNvGraphicFramePr/>
            <a:graphic xmlns:a="http://schemas.openxmlformats.org/drawingml/2006/main">
              <a:graphicData uri="http://schemas.openxmlformats.org/drawingml/2006/picture">
                <pic:pic xmlns:pic="http://schemas.openxmlformats.org/drawingml/2006/picture">
                  <pic:nvPicPr>
                    <pic:cNvPr id="231665" name="Picture 231665"/>
                    <pic:cNvPicPr/>
                  </pic:nvPicPr>
                  <pic:blipFill>
                    <a:blip r:embed="rId76"/>
                    <a:stretch>
                      <a:fillRect/>
                    </a:stretch>
                  </pic:blipFill>
                  <pic:spPr>
                    <a:xfrm>
                      <a:off x="0" y="0"/>
                      <a:ext cx="6094" cy="79207"/>
                    </a:xfrm>
                    <a:prstGeom prst="rect">
                      <a:avLst/>
                    </a:prstGeom>
                  </pic:spPr>
                </pic:pic>
              </a:graphicData>
            </a:graphic>
          </wp:inline>
        </w:drawing>
      </w:r>
      <w:r>
        <w:t xml:space="preserve">ze sformalizowanymi procedurami obowiązującymi w Banku, służącymi zapewnieniu zgodności </w:t>
      </w:r>
      <w:r>
        <w:rPr>
          <w:noProof/>
        </w:rPr>
        <w:drawing>
          <wp:inline distT="0" distB="0" distL="0" distR="0" wp14:anchorId="339AA504" wp14:editId="4EB952E9">
            <wp:extent cx="12188" cy="54835"/>
            <wp:effectExtent l="0" t="0" r="0" b="0"/>
            <wp:docPr id="231667" name="Picture 231667"/>
            <wp:cNvGraphicFramePr/>
            <a:graphic xmlns:a="http://schemas.openxmlformats.org/drawingml/2006/main">
              <a:graphicData uri="http://schemas.openxmlformats.org/drawingml/2006/picture">
                <pic:pic xmlns:pic="http://schemas.openxmlformats.org/drawingml/2006/picture">
                  <pic:nvPicPr>
                    <pic:cNvPr id="231667" name="Picture 231667"/>
                    <pic:cNvPicPr/>
                  </pic:nvPicPr>
                  <pic:blipFill>
                    <a:blip r:embed="rId77"/>
                    <a:stretch>
                      <a:fillRect/>
                    </a:stretch>
                  </pic:blipFill>
                  <pic:spPr>
                    <a:xfrm>
                      <a:off x="0" y="0"/>
                      <a:ext cx="12188" cy="54835"/>
                    </a:xfrm>
                    <a:prstGeom prst="rect">
                      <a:avLst/>
                    </a:prstGeom>
                  </pic:spPr>
                </pic:pic>
              </a:graphicData>
            </a:graphic>
          </wp:inline>
        </w:drawing>
      </w:r>
      <w:r>
        <w:rPr>
          <w:noProof/>
        </w:rPr>
        <w:drawing>
          <wp:inline distT="0" distB="0" distL="0" distR="0" wp14:anchorId="36AE80EC" wp14:editId="5F94B420">
            <wp:extent cx="6094" cy="91392"/>
            <wp:effectExtent l="0" t="0" r="0" b="0"/>
            <wp:docPr id="231669" name="Picture 231669"/>
            <wp:cNvGraphicFramePr/>
            <a:graphic xmlns:a="http://schemas.openxmlformats.org/drawingml/2006/main">
              <a:graphicData uri="http://schemas.openxmlformats.org/drawingml/2006/picture">
                <pic:pic xmlns:pic="http://schemas.openxmlformats.org/drawingml/2006/picture">
                  <pic:nvPicPr>
                    <pic:cNvPr id="231669" name="Picture 231669"/>
                    <pic:cNvPicPr/>
                  </pic:nvPicPr>
                  <pic:blipFill>
                    <a:blip r:embed="rId78"/>
                    <a:stretch>
                      <a:fillRect/>
                    </a:stretch>
                  </pic:blipFill>
                  <pic:spPr>
                    <a:xfrm>
                      <a:off x="0" y="0"/>
                      <a:ext cx="6094" cy="91392"/>
                    </a:xfrm>
                    <a:prstGeom prst="rect">
                      <a:avLst/>
                    </a:prstGeom>
                  </pic:spPr>
                </pic:pic>
              </a:graphicData>
            </a:graphic>
          </wp:inline>
        </w:drawing>
      </w:r>
      <w:r>
        <w:t>z wymogami dotyczącymi ujawniania informacji wynikającymi Części Ósmej Rozporządzenia CRR,</w:t>
      </w:r>
    </w:p>
    <w:p w14:paraId="11DFDEDE" w14:textId="56BC5BF9" w:rsidR="004E0D7F" w:rsidRPr="004E0D7F" w:rsidRDefault="004E0D7F" w:rsidP="006A08C4">
      <w:pPr>
        <w:pStyle w:val="Akapitzlist"/>
        <w:numPr>
          <w:ilvl w:val="0"/>
          <w:numId w:val="22"/>
        </w:numPr>
        <w:spacing w:line="360" w:lineRule="auto"/>
        <w:jc w:val="both"/>
        <w:rPr>
          <w:rFonts w:cstheme="minorHAnsi"/>
          <w:color w:val="000000"/>
          <w:sz w:val="24"/>
          <w:szCs w:val="24"/>
        </w:rPr>
      </w:pPr>
      <w:r>
        <w:t xml:space="preserve">oświadcza, że według jego najlepszej wiedzy, adekwatność przyjętych w Banku rozwiązań w zakresie </w:t>
      </w:r>
      <w:r>
        <w:rPr>
          <w:noProof/>
        </w:rPr>
        <w:drawing>
          <wp:inline distT="0" distB="0" distL="0" distR="0" wp14:anchorId="00ADA129" wp14:editId="200C40FE">
            <wp:extent cx="6094" cy="12186"/>
            <wp:effectExtent l="0" t="0" r="0" b="0"/>
            <wp:docPr id="143232" name="Picture 143232"/>
            <wp:cNvGraphicFramePr/>
            <a:graphic xmlns:a="http://schemas.openxmlformats.org/drawingml/2006/main">
              <a:graphicData uri="http://schemas.openxmlformats.org/drawingml/2006/picture">
                <pic:pic xmlns:pic="http://schemas.openxmlformats.org/drawingml/2006/picture">
                  <pic:nvPicPr>
                    <pic:cNvPr id="143232" name="Picture 143232"/>
                    <pic:cNvPicPr/>
                  </pic:nvPicPr>
                  <pic:blipFill>
                    <a:blip r:embed="rId79"/>
                    <a:stretch>
                      <a:fillRect/>
                    </a:stretch>
                  </pic:blipFill>
                  <pic:spPr>
                    <a:xfrm>
                      <a:off x="0" y="0"/>
                      <a:ext cx="6094" cy="12186"/>
                    </a:xfrm>
                    <a:prstGeom prst="rect">
                      <a:avLst/>
                    </a:prstGeom>
                  </pic:spPr>
                </pic:pic>
              </a:graphicData>
            </a:graphic>
          </wp:inline>
        </w:drawing>
      </w:r>
      <w:r>
        <w:t xml:space="preserve">zarządzania ryzykiem daje pewność, że funkcjonujący w Banku system zarządzania ryzykiem jest </w:t>
      </w:r>
      <w:r>
        <w:rPr>
          <w:noProof/>
        </w:rPr>
        <w:drawing>
          <wp:inline distT="0" distB="0" distL="0" distR="0" wp14:anchorId="1126125D" wp14:editId="7C9B40B4">
            <wp:extent cx="6094" cy="6093"/>
            <wp:effectExtent l="0" t="0" r="0" b="0"/>
            <wp:docPr id="143234" name="Picture 143234"/>
            <wp:cNvGraphicFramePr/>
            <a:graphic xmlns:a="http://schemas.openxmlformats.org/drawingml/2006/main">
              <a:graphicData uri="http://schemas.openxmlformats.org/drawingml/2006/picture">
                <pic:pic xmlns:pic="http://schemas.openxmlformats.org/drawingml/2006/picture">
                  <pic:nvPicPr>
                    <pic:cNvPr id="143234" name="Picture 143234"/>
                    <pic:cNvPicPr/>
                  </pic:nvPicPr>
                  <pic:blipFill>
                    <a:blip r:embed="rId80"/>
                    <a:stretch>
                      <a:fillRect/>
                    </a:stretch>
                  </pic:blipFill>
                  <pic:spPr>
                    <a:xfrm>
                      <a:off x="0" y="0"/>
                      <a:ext cx="6094" cy="6093"/>
                    </a:xfrm>
                    <a:prstGeom prst="rect">
                      <a:avLst/>
                    </a:prstGeom>
                  </pic:spPr>
                </pic:pic>
              </a:graphicData>
            </a:graphic>
          </wp:inline>
        </w:drawing>
      </w:r>
      <w:r>
        <w:t>odpowiedni z punktu widzenia profilu ryzyka i strategii Banku,</w:t>
      </w:r>
    </w:p>
    <w:p w14:paraId="7C9FF5BE" w14:textId="044411B9" w:rsidR="004E0D7F" w:rsidRPr="004E0D7F" w:rsidRDefault="004E0D7F" w:rsidP="006A08C4">
      <w:pPr>
        <w:pStyle w:val="Akapitzlist"/>
        <w:numPr>
          <w:ilvl w:val="0"/>
          <w:numId w:val="22"/>
        </w:numPr>
        <w:spacing w:line="360" w:lineRule="auto"/>
        <w:jc w:val="both"/>
        <w:rPr>
          <w:rFonts w:cstheme="minorHAnsi"/>
          <w:color w:val="000000"/>
          <w:sz w:val="24"/>
          <w:szCs w:val="24"/>
        </w:rPr>
      </w:pPr>
      <w:r>
        <w:t xml:space="preserve">zatwierdza niniejszy Raport, zawierający kluczowe wskaźniki i dane liczbowe zapewniające </w:t>
      </w:r>
      <w:r>
        <w:rPr>
          <w:noProof/>
        </w:rPr>
        <w:drawing>
          <wp:inline distT="0" distB="0" distL="0" distR="0" wp14:anchorId="204F462A" wp14:editId="1C437D98">
            <wp:extent cx="12188" cy="6093"/>
            <wp:effectExtent l="0" t="0" r="0" b="0"/>
            <wp:docPr id="143235" name="Picture 143235"/>
            <wp:cNvGraphicFramePr/>
            <a:graphic xmlns:a="http://schemas.openxmlformats.org/drawingml/2006/main">
              <a:graphicData uri="http://schemas.openxmlformats.org/drawingml/2006/picture">
                <pic:pic xmlns:pic="http://schemas.openxmlformats.org/drawingml/2006/picture">
                  <pic:nvPicPr>
                    <pic:cNvPr id="143235" name="Picture 143235"/>
                    <pic:cNvPicPr/>
                  </pic:nvPicPr>
                  <pic:blipFill>
                    <a:blip r:embed="rId81"/>
                    <a:stretch>
                      <a:fillRect/>
                    </a:stretch>
                  </pic:blipFill>
                  <pic:spPr>
                    <a:xfrm>
                      <a:off x="0" y="0"/>
                      <a:ext cx="12188" cy="6093"/>
                    </a:xfrm>
                    <a:prstGeom prst="rect">
                      <a:avLst/>
                    </a:prstGeom>
                  </pic:spPr>
                </pic:pic>
              </a:graphicData>
            </a:graphic>
          </wp:inline>
        </w:drawing>
      </w:r>
      <w:r>
        <w:t xml:space="preserve">zewnętrznym zainteresowanym stronom całościowy Obraz procesu zarządzania ryzykiem przez Bank, </w:t>
      </w:r>
      <w:r>
        <w:rPr>
          <w:noProof/>
        </w:rPr>
        <w:drawing>
          <wp:inline distT="0" distB="0" distL="0" distR="0" wp14:anchorId="6435FCDE" wp14:editId="0632C9E3">
            <wp:extent cx="6094" cy="12186"/>
            <wp:effectExtent l="0" t="0" r="0" b="0"/>
            <wp:docPr id="143237" name="Picture 143237"/>
            <wp:cNvGraphicFramePr/>
            <a:graphic xmlns:a="http://schemas.openxmlformats.org/drawingml/2006/main">
              <a:graphicData uri="http://schemas.openxmlformats.org/drawingml/2006/picture">
                <pic:pic xmlns:pic="http://schemas.openxmlformats.org/drawingml/2006/picture">
                  <pic:nvPicPr>
                    <pic:cNvPr id="143237" name="Picture 143237"/>
                    <pic:cNvPicPr/>
                  </pic:nvPicPr>
                  <pic:blipFill>
                    <a:blip r:embed="rId82"/>
                    <a:stretch>
                      <a:fillRect/>
                    </a:stretch>
                  </pic:blipFill>
                  <pic:spPr>
                    <a:xfrm>
                      <a:off x="0" y="0"/>
                      <a:ext cx="6094" cy="12186"/>
                    </a:xfrm>
                    <a:prstGeom prst="rect">
                      <a:avLst/>
                    </a:prstGeom>
                  </pic:spPr>
                </pic:pic>
              </a:graphicData>
            </a:graphic>
          </wp:inline>
        </w:drawing>
      </w:r>
      <w:r>
        <w:t>w tym interakcji między profilem ryzyka Banku a tolerancją na ryzyko.</w:t>
      </w:r>
    </w:p>
    <w:p w14:paraId="07C2A0FE" w14:textId="77777777" w:rsidR="004E0D7F" w:rsidRDefault="006753F1" w:rsidP="004E0D7F">
      <w:pPr>
        <w:spacing w:line="360" w:lineRule="auto"/>
        <w:rPr>
          <w:rFonts w:cstheme="minorHAnsi"/>
          <w:color w:val="000000"/>
          <w:sz w:val="24"/>
          <w:szCs w:val="24"/>
        </w:rPr>
      </w:pPr>
      <w:r w:rsidRPr="00927C88">
        <w:rPr>
          <w:rFonts w:cstheme="minorHAnsi"/>
          <w:color w:val="000000"/>
          <w:sz w:val="24"/>
          <w:szCs w:val="24"/>
        </w:rPr>
        <w:t xml:space="preserve"> </w:t>
      </w:r>
    </w:p>
    <w:p w14:paraId="6929F42D" w14:textId="0D657192" w:rsidR="006753F1" w:rsidRPr="00927C88" w:rsidRDefault="006753F1" w:rsidP="004E0D7F">
      <w:pPr>
        <w:spacing w:line="360" w:lineRule="auto"/>
        <w:rPr>
          <w:rFonts w:cstheme="minorHAnsi"/>
          <w:color w:val="000000"/>
          <w:sz w:val="24"/>
          <w:szCs w:val="24"/>
        </w:rPr>
      </w:pPr>
      <w:r w:rsidRPr="00927C88">
        <w:rPr>
          <w:rFonts w:cstheme="minorHAnsi"/>
          <w:color w:val="000000"/>
          <w:sz w:val="24"/>
          <w:szCs w:val="24"/>
        </w:rPr>
        <w:t>Podpisy wszystkich Członków Zarządu Banku Spółdzielczego w Żywcu w składzie:</w:t>
      </w:r>
    </w:p>
    <w:p w14:paraId="6F93D302" w14:textId="77777777" w:rsidR="006753F1" w:rsidRPr="00927C88" w:rsidRDefault="006753F1" w:rsidP="00825A59">
      <w:pPr>
        <w:spacing w:line="360" w:lineRule="auto"/>
        <w:jc w:val="both"/>
        <w:rPr>
          <w:rFonts w:cstheme="minorHAnsi"/>
          <w:sz w:val="24"/>
          <w:szCs w:val="24"/>
        </w:rPr>
      </w:pPr>
      <w:r w:rsidRPr="00927C88">
        <w:rPr>
          <w:rFonts w:cstheme="minorHAnsi"/>
          <w:sz w:val="24"/>
          <w:szCs w:val="24"/>
        </w:rPr>
        <w:t xml:space="preserve">                   Data                                  Imię i nazwisko                        Funkcja                     Podpis</w:t>
      </w:r>
    </w:p>
    <w:p w14:paraId="1512DF2D" w14:textId="4C1497DD" w:rsidR="006753F1" w:rsidRPr="00927C88" w:rsidRDefault="004E0D7F" w:rsidP="0019554B">
      <w:pPr>
        <w:pStyle w:val="Akapitzlist"/>
        <w:numPr>
          <w:ilvl w:val="0"/>
          <w:numId w:val="9"/>
        </w:numPr>
        <w:suppressAutoHyphens/>
        <w:spacing w:line="360" w:lineRule="auto"/>
        <w:jc w:val="both"/>
        <w:rPr>
          <w:rFonts w:cstheme="minorHAnsi"/>
          <w:sz w:val="24"/>
          <w:szCs w:val="24"/>
        </w:rPr>
      </w:pPr>
      <w:r>
        <w:rPr>
          <w:rFonts w:cstheme="minorHAnsi"/>
          <w:sz w:val="24"/>
          <w:szCs w:val="24"/>
        </w:rPr>
        <w:t>12</w:t>
      </w:r>
      <w:r w:rsidR="0036242B" w:rsidRPr="00927C88">
        <w:rPr>
          <w:rFonts w:cstheme="minorHAnsi"/>
          <w:sz w:val="24"/>
          <w:szCs w:val="24"/>
        </w:rPr>
        <w:t>.</w:t>
      </w:r>
      <w:r w:rsidR="006753F1" w:rsidRPr="00927C88">
        <w:rPr>
          <w:rFonts w:cstheme="minorHAnsi"/>
          <w:sz w:val="24"/>
          <w:szCs w:val="24"/>
        </w:rPr>
        <w:t>0</w:t>
      </w:r>
      <w:r>
        <w:rPr>
          <w:rFonts w:cstheme="minorHAnsi"/>
          <w:sz w:val="24"/>
          <w:szCs w:val="24"/>
        </w:rPr>
        <w:t>5</w:t>
      </w:r>
      <w:r w:rsidR="006753F1" w:rsidRPr="00927C88">
        <w:rPr>
          <w:rFonts w:cstheme="minorHAnsi"/>
          <w:sz w:val="24"/>
          <w:szCs w:val="24"/>
        </w:rPr>
        <w:t>.202</w:t>
      </w:r>
      <w:r w:rsidR="00927C88">
        <w:rPr>
          <w:rFonts w:cstheme="minorHAnsi"/>
          <w:sz w:val="24"/>
          <w:szCs w:val="24"/>
        </w:rPr>
        <w:t>6</w:t>
      </w:r>
      <w:r w:rsidR="006753F1" w:rsidRPr="00927C88">
        <w:rPr>
          <w:rFonts w:cstheme="minorHAnsi"/>
          <w:sz w:val="24"/>
          <w:szCs w:val="24"/>
        </w:rPr>
        <w:t xml:space="preserve">                    Józef Góra                        Prezes Zarządu          </w:t>
      </w:r>
      <w:r w:rsidR="007D155C" w:rsidRPr="00927C88">
        <w:rPr>
          <w:rFonts w:cstheme="minorHAnsi"/>
          <w:sz w:val="24"/>
          <w:szCs w:val="24"/>
        </w:rPr>
        <w:t xml:space="preserve">  </w:t>
      </w:r>
      <w:r w:rsidR="006753F1" w:rsidRPr="00927C88">
        <w:rPr>
          <w:rFonts w:cstheme="minorHAnsi"/>
          <w:sz w:val="24"/>
          <w:szCs w:val="24"/>
        </w:rPr>
        <w:t xml:space="preserve"> …..…………………….</w:t>
      </w:r>
      <w:r w:rsidR="007D155C" w:rsidRPr="00927C88">
        <w:rPr>
          <w:rFonts w:cstheme="minorHAnsi"/>
          <w:sz w:val="24"/>
          <w:szCs w:val="24"/>
        </w:rPr>
        <w:t>.</w:t>
      </w:r>
    </w:p>
    <w:p w14:paraId="1008871C" w14:textId="77777777" w:rsidR="006753F1" w:rsidRPr="00927C88" w:rsidRDefault="006753F1" w:rsidP="00825A59">
      <w:pPr>
        <w:pStyle w:val="Akapitzlist"/>
        <w:spacing w:line="360" w:lineRule="auto"/>
        <w:jc w:val="both"/>
        <w:rPr>
          <w:rFonts w:cstheme="minorHAnsi"/>
          <w:sz w:val="24"/>
          <w:szCs w:val="24"/>
        </w:rPr>
      </w:pPr>
    </w:p>
    <w:p w14:paraId="3233F4C5" w14:textId="7AC066EF" w:rsidR="006753F1" w:rsidRPr="00927C88" w:rsidRDefault="004E0D7F" w:rsidP="0019554B">
      <w:pPr>
        <w:pStyle w:val="Akapitzlist"/>
        <w:numPr>
          <w:ilvl w:val="0"/>
          <w:numId w:val="9"/>
        </w:numPr>
        <w:suppressAutoHyphens/>
        <w:spacing w:line="360" w:lineRule="auto"/>
        <w:jc w:val="both"/>
        <w:rPr>
          <w:rFonts w:cstheme="minorHAnsi"/>
          <w:sz w:val="24"/>
          <w:szCs w:val="24"/>
        </w:rPr>
      </w:pPr>
      <w:r>
        <w:rPr>
          <w:rFonts w:cstheme="minorHAnsi"/>
          <w:sz w:val="24"/>
          <w:szCs w:val="24"/>
        </w:rPr>
        <w:t>12</w:t>
      </w:r>
      <w:r w:rsidR="0036242B" w:rsidRPr="00927C88">
        <w:rPr>
          <w:rFonts w:cstheme="minorHAnsi"/>
          <w:sz w:val="24"/>
          <w:szCs w:val="24"/>
        </w:rPr>
        <w:t>.</w:t>
      </w:r>
      <w:r w:rsidR="006753F1" w:rsidRPr="00927C88">
        <w:rPr>
          <w:rFonts w:cstheme="minorHAnsi"/>
          <w:sz w:val="24"/>
          <w:szCs w:val="24"/>
        </w:rPr>
        <w:t>0</w:t>
      </w:r>
      <w:r>
        <w:rPr>
          <w:rFonts w:cstheme="minorHAnsi"/>
          <w:sz w:val="24"/>
          <w:szCs w:val="24"/>
        </w:rPr>
        <w:t>5</w:t>
      </w:r>
      <w:r w:rsidR="006753F1" w:rsidRPr="00927C88">
        <w:rPr>
          <w:rFonts w:cstheme="minorHAnsi"/>
          <w:sz w:val="24"/>
          <w:szCs w:val="24"/>
        </w:rPr>
        <w:t>.202</w:t>
      </w:r>
      <w:r w:rsidR="00927C88">
        <w:rPr>
          <w:rFonts w:cstheme="minorHAnsi"/>
          <w:sz w:val="24"/>
          <w:szCs w:val="24"/>
        </w:rPr>
        <w:t>6</w:t>
      </w:r>
      <w:r w:rsidR="006753F1" w:rsidRPr="00927C88">
        <w:rPr>
          <w:rFonts w:cstheme="minorHAnsi"/>
          <w:sz w:val="24"/>
          <w:szCs w:val="24"/>
        </w:rPr>
        <w:t xml:space="preserve">                  Sabina Duraj                     Wiceprezes Zarządu     …….……………………</w:t>
      </w:r>
    </w:p>
    <w:p w14:paraId="0E41FADE" w14:textId="77777777" w:rsidR="006753F1" w:rsidRPr="00927C88" w:rsidRDefault="006753F1" w:rsidP="00825A59">
      <w:pPr>
        <w:pStyle w:val="Akapitzlist"/>
        <w:spacing w:line="360" w:lineRule="auto"/>
        <w:jc w:val="both"/>
        <w:rPr>
          <w:rFonts w:cstheme="minorHAnsi"/>
          <w:color w:val="FF0000"/>
          <w:sz w:val="24"/>
          <w:szCs w:val="24"/>
        </w:rPr>
      </w:pPr>
    </w:p>
    <w:p w14:paraId="05AEB115" w14:textId="0D45983A" w:rsidR="00E63883" w:rsidRPr="00927C88" w:rsidRDefault="004E0D7F" w:rsidP="0019554B">
      <w:pPr>
        <w:pStyle w:val="Akapitzlist"/>
        <w:numPr>
          <w:ilvl w:val="0"/>
          <w:numId w:val="9"/>
        </w:numPr>
        <w:suppressAutoHyphens/>
        <w:spacing w:line="360" w:lineRule="auto"/>
        <w:rPr>
          <w:rFonts w:cstheme="minorHAnsi"/>
          <w:color w:val="000000"/>
          <w:sz w:val="24"/>
          <w:szCs w:val="24"/>
        </w:rPr>
      </w:pPr>
      <w:r>
        <w:rPr>
          <w:rFonts w:cstheme="minorHAnsi"/>
          <w:sz w:val="24"/>
          <w:szCs w:val="24"/>
        </w:rPr>
        <w:lastRenderedPageBreak/>
        <w:t>12</w:t>
      </w:r>
      <w:r w:rsidR="002F0D8A" w:rsidRPr="00927C88">
        <w:rPr>
          <w:rFonts w:cstheme="minorHAnsi"/>
          <w:sz w:val="24"/>
          <w:szCs w:val="24"/>
        </w:rPr>
        <w:t>.0</w:t>
      </w:r>
      <w:r>
        <w:rPr>
          <w:rFonts w:cstheme="minorHAnsi"/>
          <w:sz w:val="24"/>
          <w:szCs w:val="24"/>
        </w:rPr>
        <w:t>5</w:t>
      </w:r>
      <w:r w:rsidR="002F0D8A" w:rsidRPr="00927C88">
        <w:rPr>
          <w:rFonts w:cstheme="minorHAnsi"/>
          <w:sz w:val="24"/>
          <w:szCs w:val="24"/>
        </w:rPr>
        <w:t>.202</w:t>
      </w:r>
      <w:r w:rsidR="00927C88">
        <w:rPr>
          <w:rFonts w:cstheme="minorHAnsi"/>
          <w:sz w:val="24"/>
          <w:szCs w:val="24"/>
        </w:rPr>
        <w:t>6</w:t>
      </w:r>
      <w:r w:rsidR="000C6D32" w:rsidRPr="00927C88">
        <w:rPr>
          <w:rFonts w:cstheme="minorHAnsi"/>
          <w:sz w:val="24"/>
          <w:szCs w:val="24"/>
        </w:rPr>
        <w:t xml:space="preserve">                </w:t>
      </w:r>
      <w:r w:rsidR="00596908" w:rsidRPr="00927C88">
        <w:rPr>
          <w:rFonts w:cstheme="minorHAnsi"/>
          <w:sz w:val="24"/>
          <w:szCs w:val="24"/>
        </w:rPr>
        <w:t>Katarzyna Jeziorska</w:t>
      </w:r>
      <w:r w:rsidR="006753F1" w:rsidRPr="00927C88">
        <w:rPr>
          <w:rFonts w:cstheme="minorHAnsi"/>
          <w:sz w:val="24"/>
          <w:szCs w:val="24"/>
        </w:rPr>
        <w:t xml:space="preserve">          Członek Zarządu         </w:t>
      </w:r>
      <w:r w:rsidR="00A6502E" w:rsidRPr="00927C88">
        <w:rPr>
          <w:rFonts w:cstheme="minorHAnsi"/>
          <w:sz w:val="24"/>
          <w:szCs w:val="24"/>
        </w:rPr>
        <w:t xml:space="preserve"> </w:t>
      </w:r>
      <w:r w:rsidR="002F0D8A" w:rsidRPr="00927C88">
        <w:rPr>
          <w:rFonts w:cstheme="minorHAnsi"/>
          <w:sz w:val="24"/>
          <w:szCs w:val="24"/>
        </w:rPr>
        <w:t>…….……………………</w:t>
      </w:r>
      <w:r w:rsidR="00A6502E" w:rsidRPr="00927C88">
        <w:rPr>
          <w:rFonts w:cstheme="minorHAnsi"/>
          <w:sz w:val="24"/>
          <w:szCs w:val="24"/>
        </w:rPr>
        <w:t xml:space="preserve">   </w:t>
      </w:r>
      <w:r w:rsidR="006753F1" w:rsidRPr="00927C88">
        <w:rPr>
          <w:rFonts w:cstheme="minorHAnsi"/>
          <w:noProof/>
          <w:sz w:val="24"/>
          <w:szCs w:val="24"/>
        </w:rPr>
        <mc:AlternateContent>
          <mc:Choice Requires="wps">
            <w:drawing>
              <wp:anchor distT="0" distB="0" distL="63500" distR="63500" simplePos="0" relativeHeight="251658240" behindDoc="1" locked="0" layoutInCell="1" allowOverlap="1" wp14:anchorId="0F8782F2" wp14:editId="3D847FA6">
                <wp:simplePos x="0" y="0"/>
                <wp:positionH relativeFrom="page">
                  <wp:posOffset>6357620</wp:posOffset>
                </wp:positionH>
                <wp:positionV relativeFrom="page">
                  <wp:posOffset>9976485</wp:posOffset>
                </wp:positionV>
                <wp:extent cx="130810" cy="170815"/>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130810" cy="170815"/>
                        </a:xfrm>
                        <a:prstGeom prst="rect">
                          <a:avLst/>
                        </a:prstGeom>
                      </wps:spPr>
                      <wps:txbx>
                        <w:txbxContent>
                          <w:p w14:paraId="5CB73F06" w14:textId="77777777" w:rsidR="006753F1" w:rsidRDefault="006753F1" w:rsidP="006753F1">
                            <w:pPr>
                              <w:pStyle w:val="Zawartoramki"/>
                              <w:spacing w:line="240" w:lineRule="auto"/>
                            </w:pPr>
                          </w:p>
                        </w:txbxContent>
                      </wps:txbx>
                      <wps:bodyPr vertOverflow="clip" horzOverflow="clip"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0F8782F2" id="_x0000_t202" coordsize="21600,21600" o:spt="202" path="m,l,21600r21600,l21600,xe">
                <v:stroke joinstyle="miter"/>
                <v:path gradientshapeok="t" o:connecttype="rect"/>
              </v:shapetype>
              <v:shape id="Pole tekstowe 6" o:spid="_x0000_s1026" type="#_x0000_t202" style="position:absolute;left:0;text-align:left;margin-left:500.6pt;margin-top:785.55pt;width:10.3pt;height:13.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" filled="f" stroked="f">
                <v:textbox inset="0,0,0,0">
                  <w:txbxContent>
                    <w:p w14:paraId="5CB73F06" w14:textId="77777777" w:rsidR="006753F1" w:rsidRDefault="006753F1" w:rsidP="006753F1">
                      <w:pPr>
                        <w:pStyle w:val="Zawartoramki"/>
                        <w:spacing w:line="240" w:lineRule="auto"/>
                      </w:pPr>
                    </w:p>
                  </w:txbxContent>
                </v:textbox>
                <w10:wrap anchorx="page" anchory="page"/>
              </v:shape>
            </w:pict>
          </mc:Fallback>
        </mc:AlternateContent>
      </w:r>
    </w:p>
    <w:p w14:paraId="0AB6C425" w14:textId="77777777" w:rsidR="00E0350C" w:rsidRPr="00927C88" w:rsidRDefault="00E0350C" w:rsidP="00825A59">
      <w:pPr>
        <w:pStyle w:val="Akapitzlist"/>
        <w:spacing w:after="0" w:line="360" w:lineRule="auto"/>
        <w:ind w:left="426"/>
        <w:rPr>
          <w:rFonts w:cstheme="minorHAnsi"/>
          <w:color w:val="000000"/>
          <w:sz w:val="24"/>
          <w:szCs w:val="24"/>
        </w:rPr>
      </w:pPr>
    </w:p>
    <w:p w14:paraId="488B23B8" w14:textId="4BA1BB91" w:rsidR="00E63883" w:rsidRPr="00927C88" w:rsidRDefault="00E63883" w:rsidP="00825A59">
      <w:pPr>
        <w:pStyle w:val="Akapitzlist"/>
        <w:spacing w:after="0" w:line="360" w:lineRule="auto"/>
        <w:ind w:left="426"/>
        <w:rPr>
          <w:rFonts w:cstheme="minorHAnsi"/>
          <w:color w:val="000000"/>
          <w:sz w:val="24"/>
          <w:szCs w:val="24"/>
        </w:rPr>
      </w:pPr>
      <w:r w:rsidRPr="00927C88">
        <w:rPr>
          <w:rFonts w:cstheme="minorHAnsi"/>
          <w:color w:val="000000"/>
          <w:sz w:val="24"/>
          <w:szCs w:val="24"/>
        </w:rPr>
        <w:t>Podpisy wszystkich Członków Zarządu Banku Spółdzielczego w Żywcu w składzie:</w:t>
      </w:r>
    </w:p>
    <w:p w14:paraId="33E17DB6" w14:textId="77777777" w:rsidR="000369B3" w:rsidRPr="00927C88" w:rsidRDefault="000369B3" w:rsidP="00825A59">
      <w:pPr>
        <w:pStyle w:val="Akapitzlist"/>
        <w:spacing w:after="0" w:line="360" w:lineRule="auto"/>
        <w:ind w:left="426"/>
        <w:rPr>
          <w:rFonts w:cstheme="minorHAnsi"/>
          <w:color w:val="000000"/>
          <w:sz w:val="24"/>
          <w:szCs w:val="24"/>
        </w:rPr>
      </w:pPr>
    </w:p>
    <w:p w14:paraId="4C5EDAE0" w14:textId="77777777" w:rsidR="00E63883" w:rsidRPr="00927C88" w:rsidRDefault="00E63883" w:rsidP="00825A59">
      <w:pPr>
        <w:pStyle w:val="Akapitzlist"/>
        <w:spacing w:after="0" w:line="360" w:lineRule="auto"/>
        <w:ind w:left="426"/>
        <w:rPr>
          <w:rFonts w:cstheme="minorHAnsi"/>
          <w:color w:val="000000"/>
          <w:sz w:val="24"/>
          <w:szCs w:val="24"/>
        </w:rPr>
      </w:pPr>
    </w:p>
    <w:p w14:paraId="62E12AF8" w14:textId="0A8CB190" w:rsidR="00362694" w:rsidRPr="00927C88" w:rsidRDefault="007C7B2D" w:rsidP="00825A59">
      <w:pPr>
        <w:pStyle w:val="Akapitzlist"/>
        <w:spacing w:after="0" w:line="360" w:lineRule="auto"/>
        <w:ind w:left="426"/>
        <w:rPr>
          <w:rFonts w:cstheme="minorHAnsi"/>
          <w:color w:val="FF0000"/>
          <w:sz w:val="24"/>
          <w:szCs w:val="24"/>
        </w:rPr>
      </w:pPr>
      <w:r w:rsidRPr="00927C88">
        <w:rPr>
          <w:rFonts w:cstheme="minorHAnsi"/>
          <w:color w:val="000000"/>
          <w:sz w:val="24"/>
          <w:szCs w:val="24"/>
        </w:rPr>
        <w:t>Rad</w:t>
      </w:r>
      <w:r w:rsidR="00A6502E" w:rsidRPr="00927C88">
        <w:rPr>
          <w:rFonts w:cstheme="minorHAnsi"/>
          <w:color w:val="000000"/>
          <w:sz w:val="24"/>
          <w:szCs w:val="24"/>
        </w:rPr>
        <w:t>a</w:t>
      </w:r>
      <w:r w:rsidRPr="00927C88">
        <w:rPr>
          <w:rFonts w:cstheme="minorHAnsi"/>
          <w:color w:val="000000"/>
          <w:sz w:val="24"/>
          <w:szCs w:val="24"/>
        </w:rPr>
        <w:t xml:space="preserve"> Nadzorcz</w:t>
      </w:r>
      <w:r w:rsidR="00A6502E" w:rsidRPr="00927C88">
        <w:rPr>
          <w:rFonts w:cstheme="minorHAnsi"/>
          <w:color w:val="000000"/>
          <w:sz w:val="24"/>
          <w:szCs w:val="24"/>
        </w:rPr>
        <w:t>a</w:t>
      </w:r>
      <w:r w:rsidR="008A100E" w:rsidRPr="00927C88">
        <w:rPr>
          <w:rFonts w:cstheme="minorHAnsi"/>
          <w:color w:val="000000"/>
          <w:sz w:val="24"/>
          <w:szCs w:val="24"/>
        </w:rPr>
        <w:t xml:space="preserve"> </w:t>
      </w:r>
      <w:r w:rsidR="004E0D7F">
        <w:rPr>
          <w:rFonts w:cstheme="minorHAnsi"/>
          <w:sz w:val="24"/>
          <w:szCs w:val="24"/>
        </w:rPr>
        <w:t>15</w:t>
      </w:r>
      <w:r w:rsidR="008A100E" w:rsidRPr="00927C88">
        <w:rPr>
          <w:rFonts w:cstheme="minorHAnsi"/>
          <w:sz w:val="24"/>
          <w:szCs w:val="24"/>
        </w:rPr>
        <w:t>.0</w:t>
      </w:r>
      <w:r w:rsidR="004E0D7F">
        <w:rPr>
          <w:rFonts w:cstheme="minorHAnsi"/>
          <w:sz w:val="24"/>
          <w:szCs w:val="24"/>
        </w:rPr>
        <w:t>5</w:t>
      </w:r>
      <w:r w:rsidR="008A100E" w:rsidRPr="00927C88">
        <w:rPr>
          <w:rFonts w:cstheme="minorHAnsi"/>
          <w:sz w:val="24"/>
          <w:szCs w:val="24"/>
        </w:rPr>
        <w:t>.20</w:t>
      </w:r>
      <w:r w:rsidR="00C5198F" w:rsidRPr="00927C88">
        <w:rPr>
          <w:rFonts w:cstheme="minorHAnsi"/>
          <w:sz w:val="24"/>
          <w:szCs w:val="24"/>
        </w:rPr>
        <w:t>2</w:t>
      </w:r>
      <w:r w:rsidR="00597189">
        <w:rPr>
          <w:rFonts w:cstheme="minorHAnsi"/>
          <w:sz w:val="24"/>
          <w:szCs w:val="24"/>
        </w:rPr>
        <w:t>6</w:t>
      </w:r>
      <w:r w:rsidR="008A100E" w:rsidRPr="00927C88">
        <w:rPr>
          <w:rFonts w:cstheme="minorHAnsi"/>
          <w:sz w:val="24"/>
          <w:szCs w:val="24"/>
        </w:rPr>
        <w:t xml:space="preserve"> rok.</w:t>
      </w:r>
    </w:p>
    <w:p w14:paraId="5B986BEF" w14:textId="77777777" w:rsidR="00E53427" w:rsidRPr="00927C88" w:rsidRDefault="00E53427" w:rsidP="00825A59">
      <w:pPr>
        <w:pStyle w:val="Akapitzlist"/>
        <w:spacing w:after="0" w:line="360" w:lineRule="auto"/>
        <w:ind w:left="426"/>
        <w:rPr>
          <w:rFonts w:cstheme="minorHAnsi"/>
          <w:color w:val="000000"/>
          <w:sz w:val="24"/>
          <w:szCs w:val="24"/>
        </w:rPr>
      </w:pPr>
    </w:p>
    <w:sectPr w:rsidR="00E53427" w:rsidRPr="00927C88" w:rsidSect="006E73D2">
      <w:footerReference w:type="default" r:id="rI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B8B32" w14:textId="77777777" w:rsidR="002973F5" w:rsidRDefault="002973F5" w:rsidP="0031513B">
      <w:pPr>
        <w:spacing w:after="0" w:line="240" w:lineRule="auto"/>
      </w:pPr>
      <w:r>
        <w:separator/>
      </w:r>
    </w:p>
  </w:endnote>
  <w:endnote w:type="continuationSeparator" w:id="0">
    <w:p w14:paraId="766EC341" w14:textId="77777777" w:rsidR="002973F5" w:rsidRDefault="002973F5" w:rsidP="00315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217583"/>
      <w:docPartObj>
        <w:docPartGallery w:val="Page Numbers (Bottom of Page)"/>
        <w:docPartUnique/>
      </w:docPartObj>
    </w:sdtPr>
    <w:sdtEndPr/>
    <w:sdtContent>
      <w:p w14:paraId="05E606A8" w14:textId="77777777" w:rsidR="00B92AF4" w:rsidRDefault="00B92AF4">
        <w:pPr>
          <w:pStyle w:val="Stopka"/>
          <w:jc w:val="center"/>
        </w:pPr>
        <w:r>
          <w:fldChar w:fldCharType="begin"/>
        </w:r>
        <w:r>
          <w:instrText>PAGE   \* MERGEFORMAT</w:instrText>
        </w:r>
        <w:r>
          <w:fldChar w:fldCharType="separate"/>
        </w:r>
        <w:r w:rsidR="006F7F05">
          <w:rPr>
            <w:noProof/>
          </w:rPr>
          <w:t>1</w:t>
        </w:r>
        <w:r>
          <w:fldChar w:fldCharType="end"/>
        </w:r>
      </w:p>
    </w:sdtContent>
  </w:sdt>
  <w:p w14:paraId="6499FD6C" w14:textId="77777777" w:rsidR="00B92AF4" w:rsidRDefault="00B92A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82591" w14:textId="77777777" w:rsidR="002973F5" w:rsidRDefault="002973F5" w:rsidP="0031513B">
      <w:pPr>
        <w:spacing w:after="0" w:line="240" w:lineRule="auto"/>
      </w:pPr>
      <w:r>
        <w:separator/>
      </w:r>
    </w:p>
  </w:footnote>
  <w:footnote w:type="continuationSeparator" w:id="0">
    <w:p w14:paraId="415DDDB1" w14:textId="77777777" w:rsidR="002973F5" w:rsidRDefault="002973F5" w:rsidP="00315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64E8A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1494" o:spid="_x0000_i1025" type="#_x0000_t75" style="width:1.5pt;height:12.75pt;visibility:visible;mso-wrap-style:square" o:bullet="t">
        <v:imagedata r:id="rId1" o:title=""/>
      </v:shape>
    </w:pict>
  </w:numPicBullet>
  <w:abstractNum w:abstractNumId="0" w15:restartNumberingAfterBreak="0">
    <w:nsid w:val="EBD86972"/>
    <w:multiLevelType w:val="hybridMultilevel"/>
    <w:tmpl w:val="455C2F60"/>
    <w:lvl w:ilvl="0" w:tplc="FFFFFFFF">
      <w:start w:val="1"/>
      <w:numFmt w:val="ideographDigital"/>
      <w:lvlText w:val=""/>
      <w:lvlJc w:val="left"/>
    </w:lvl>
    <w:lvl w:ilvl="1" w:tplc="04150011">
      <w:start w:val="1"/>
      <w:numFmt w:val="decimal"/>
      <w:lvlText w:val="%2)"/>
      <w:lvlJc w:val="left"/>
      <w:pPr>
        <w:ind w:left="72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B4A6B"/>
    <w:multiLevelType w:val="hybridMultilevel"/>
    <w:tmpl w:val="4D82D5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A675E8"/>
    <w:multiLevelType w:val="hybridMultilevel"/>
    <w:tmpl w:val="210663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382898"/>
    <w:multiLevelType w:val="hybridMultilevel"/>
    <w:tmpl w:val="17F0CA10"/>
    <w:name w:val="WW8Num453"/>
    <w:lvl w:ilvl="0" w:tplc="45623B60">
      <w:start w:val="1"/>
      <w:numFmt w:val="decimal"/>
      <w:lvlText w:val="%1)"/>
      <w:lvlJc w:val="left"/>
      <w:pPr>
        <w:tabs>
          <w:tab w:val="num" w:pos="4218"/>
        </w:tabs>
        <w:ind w:left="4218"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A31A7"/>
    <w:multiLevelType w:val="hybridMultilevel"/>
    <w:tmpl w:val="146CBB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75ADA"/>
    <w:multiLevelType w:val="hybridMultilevel"/>
    <w:tmpl w:val="6E4A6E6C"/>
    <w:name w:val="WW8Num10"/>
    <w:lvl w:ilvl="0" w:tplc="BE1CC330">
      <w:start w:val="1"/>
      <w:numFmt w:val="decimal"/>
      <w:lvlText w:val="%1."/>
      <w:lvlJc w:val="left"/>
      <w:pPr>
        <w:tabs>
          <w:tab w:val="num" w:pos="-380"/>
        </w:tabs>
        <w:ind w:left="-380" w:hanging="340"/>
      </w:pPr>
      <w:rPr>
        <w:sz w:val="32"/>
        <w:szCs w:val="32"/>
      </w:r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6" w15:restartNumberingAfterBreak="0">
    <w:nsid w:val="258A6243"/>
    <w:multiLevelType w:val="hybridMultilevel"/>
    <w:tmpl w:val="05C4A8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31698E"/>
    <w:multiLevelType w:val="hybridMultilevel"/>
    <w:tmpl w:val="D4484D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0F84745"/>
    <w:multiLevelType w:val="hybridMultilevel"/>
    <w:tmpl w:val="170441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220F47"/>
    <w:multiLevelType w:val="multilevel"/>
    <w:tmpl w:val="82407410"/>
    <w:lvl w:ilvl="0">
      <w:start w:val="1"/>
      <w:numFmt w:val="decimal"/>
      <w:lvlText w:val="%1."/>
      <w:lvlJc w:val="left"/>
      <w:pPr>
        <w:ind w:left="720" w:hanging="360"/>
      </w:pPr>
      <w:rPr>
        <w:rFonts w:ascii="Calibri" w:hAnsi="Calibri" w:cs="Times New Roman"/>
        <w:b/>
        <w:sz w:val="22"/>
      </w:rPr>
    </w:lvl>
    <w:lvl w:ilvl="1">
      <w:start w:val="1"/>
      <w:numFmt w:val="lowerLetter"/>
      <w:lvlText w:val="%2."/>
      <w:lvlJc w:val="left"/>
      <w:pPr>
        <w:ind w:left="1440" w:hanging="360"/>
      </w:pPr>
      <w:rPr>
        <w:rFonts w:ascii="Calibri" w:hAnsi="Calibri" w:cs="Times New Roman"/>
        <w:b/>
        <w:sz w:val="22"/>
      </w:rPr>
    </w:lvl>
    <w:lvl w:ilvl="2">
      <w:start w:val="1"/>
      <w:numFmt w:val="lowerRoman"/>
      <w:lvlText w:val="%3."/>
      <w:lvlJc w:val="right"/>
      <w:pPr>
        <w:ind w:left="2160" w:hanging="180"/>
      </w:pPr>
      <w:rPr>
        <w:rFonts w:ascii="Calibri" w:hAnsi="Calibri" w:cs="Times New Roman"/>
        <w:b/>
        <w:sz w:val="22"/>
      </w:rPr>
    </w:lvl>
    <w:lvl w:ilvl="3">
      <w:start w:val="1"/>
      <w:numFmt w:val="decimal"/>
      <w:lvlText w:val="%4."/>
      <w:lvlJc w:val="left"/>
      <w:pPr>
        <w:ind w:left="2880" w:hanging="360"/>
      </w:pPr>
      <w:rPr>
        <w:rFonts w:ascii="Calibri" w:hAnsi="Calibri" w:cs="Times New Roman"/>
        <w:b/>
        <w:sz w:val="22"/>
      </w:rPr>
    </w:lvl>
    <w:lvl w:ilvl="4">
      <w:start w:val="1"/>
      <w:numFmt w:val="lowerLetter"/>
      <w:lvlText w:val="%5."/>
      <w:lvlJc w:val="left"/>
      <w:pPr>
        <w:ind w:left="3600" w:hanging="360"/>
      </w:pPr>
      <w:rPr>
        <w:rFonts w:ascii="Calibri" w:hAnsi="Calibri" w:cs="Times New Roman"/>
        <w:b/>
        <w:sz w:val="22"/>
      </w:rPr>
    </w:lvl>
    <w:lvl w:ilvl="5">
      <w:start w:val="1"/>
      <w:numFmt w:val="lowerRoman"/>
      <w:lvlText w:val="%6."/>
      <w:lvlJc w:val="right"/>
      <w:pPr>
        <w:ind w:left="4320" w:hanging="180"/>
      </w:pPr>
      <w:rPr>
        <w:rFonts w:ascii="Calibri" w:hAnsi="Calibri" w:cs="Times New Roman"/>
        <w:b/>
        <w:sz w:val="22"/>
      </w:rPr>
    </w:lvl>
    <w:lvl w:ilvl="6">
      <w:start w:val="1"/>
      <w:numFmt w:val="decimal"/>
      <w:lvlText w:val="%7."/>
      <w:lvlJc w:val="left"/>
      <w:pPr>
        <w:ind w:left="5040" w:hanging="360"/>
      </w:pPr>
      <w:rPr>
        <w:rFonts w:ascii="Calibri" w:hAnsi="Calibri" w:cs="Times New Roman"/>
        <w:b/>
        <w:sz w:val="22"/>
      </w:rPr>
    </w:lvl>
    <w:lvl w:ilvl="7">
      <w:start w:val="1"/>
      <w:numFmt w:val="lowerLetter"/>
      <w:lvlText w:val="%8."/>
      <w:lvlJc w:val="left"/>
      <w:pPr>
        <w:ind w:left="5760" w:hanging="360"/>
      </w:pPr>
      <w:rPr>
        <w:rFonts w:ascii="Calibri" w:hAnsi="Calibri" w:cs="Times New Roman"/>
        <w:b/>
        <w:sz w:val="22"/>
      </w:rPr>
    </w:lvl>
    <w:lvl w:ilvl="8">
      <w:start w:val="1"/>
      <w:numFmt w:val="lowerRoman"/>
      <w:lvlText w:val="%9."/>
      <w:lvlJc w:val="right"/>
      <w:pPr>
        <w:ind w:left="6480" w:hanging="180"/>
      </w:pPr>
      <w:rPr>
        <w:rFonts w:ascii="Calibri" w:hAnsi="Calibri" w:cs="Times New Roman"/>
        <w:b/>
        <w:sz w:val="22"/>
      </w:rPr>
    </w:lvl>
  </w:abstractNum>
  <w:abstractNum w:abstractNumId="10" w15:restartNumberingAfterBreak="0">
    <w:nsid w:val="3DBF0A92"/>
    <w:multiLevelType w:val="hybridMultilevel"/>
    <w:tmpl w:val="60FE44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932C69"/>
    <w:multiLevelType w:val="hybridMultilevel"/>
    <w:tmpl w:val="F44A77F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0D7282D"/>
    <w:multiLevelType w:val="hybridMultilevel"/>
    <w:tmpl w:val="E0B4F7C2"/>
    <w:lvl w:ilvl="0" w:tplc="8C4CCE3E">
      <w:start w:val="1"/>
      <w:numFmt w:val="bullet"/>
      <w:lvlText w:val=""/>
      <w:lvlPicBulletId w:val="0"/>
      <w:lvlJc w:val="left"/>
      <w:pPr>
        <w:tabs>
          <w:tab w:val="num" w:pos="720"/>
        </w:tabs>
        <w:ind w:left="720" w:hanging="360"/>
      </w:pPr>
      <w:rPr>
        <w:rFonts w:ascii="Symbol" w:hAnsi="Symbol" w:hint="default"/>
      </w:rPr>
    </w:lvl>
    <w:lvl w:ilvl="1" w:tplc="9FC6DDAC" w:tentative="1">
      <w:start w:val="1"/>
      <w:numFmt w:val="bullet"/>
      <w:lvlText w:val=""/>
      <w:lvlJc w:val="left"/>
      <w:pPr>
        <w:tabs>
          <w:tab w:val="num" w:pos="1440"/>
        </w:tabs>
        <w:ind w:left="1440" w:hanging="360"/>
      </w:pPr>
      <w:rPr>
        <w:rFonts w:ascii="Symbol" w:hAnsi="Symbol" w:hint="default"/>
      </w:rPr>
    </w:lvl>
    <w:lvl w:ilvl="2" w:tplc="A322FBC6" w:tentative="1">
      <w:start w:val="1"/>
      <w:numFmt w:val="bullet"/>
      <w:lvlText w:val=""/>
      <w:lvlJc w:val="left"/>
      <w:pPr>
        <w:tabs>
          <w:tab w:val="num" w:pos="2160"/>
        </w:tabs>
        <w:ind w:left="2160" w:hanging="360"/>
      </w:pPr>
      <w:rPr>
        <w:rFonts w:ascii="Symbol" w:hAnsi="Symbol" w:hint="default"/>
      </w:rPr>
    </w:lvl>
    <w:lvl w:ilvl="3" w:tplc="5E6CBEF2" w:tentative="1">
      <w:start w:val="1"/>
      <w:numFmt w:val="bullet"/>
      <w:lvlText w:val=""/>
      <w:lvlJc w:val="left"/>
      <w:pPr>
        <w:tabs>
          <w:tab w:val="num" w:pos="2880"/>
        </w:tabs>
        <w:ind w:left="2880" w:hanging="360"/>
      </w:pPr>
      <w:rPr>
        <w:rFonts w:ascii="Symbol" w:hAnsi="Symbol" w:hint="default"/>
      </w:rPr>
    </w:lvl>
    <w:lvl w:ilvl="4" w:tplc="E8F0017C" w:tentative="1">
      <w:start w:val="1"/>
      <w:numFmt w:val="bullet"/>
      <w:lvlText w:val=""/>
      <w:lvlJc w:val="left"/>
      <w:pPr>
        <w:tabs>
          <w:tab w:val="num" w:pos="3600"/>
        </w:tabs>
        <w:ind w:left="3600" w:hanging="360"/>
      </w:pPr>
      <w:rPr>
        <w:rFonts w:ascii="Symbol" w:hAnsi="Symbol" w:hint="default"/>
      </w:rPr>
    </w:lvl>
    <w:lvl w:ilvl="5" w:tplc="4BF8F160" w:tentative="1">
      <w:start w:val="1"/>
      <w:numFmt w:val="bullet"/>
      <w:lvlText w:val=""/>
      <w:lvlJc w:val="left"/>
      <w:pPr>
        <w:tabs>
          <w:tab w:val="num" w:pos="4320"/>
        </w:tabs>
        <w:ind w:left="4320" w:hanging="360"/>
      </w:pPr>
      <w:rPr>
        <w:rFonts w:ascii="Symbol" w:hAnsi="Symbol" w:hint="default"/>
      </w:rPr>
    </w:lvl>
    <w:lvl w:ilvl="6" w:tplc="B2061D8E" w:tentative="1">
      <w:start w:val="1"/>
      <w:numFmt w:val="bullet"/>
      <w:lvlText w:val=""/>
      <w:lvlJc w:val="left"/>
      <w:pPr>
        <w:tabs>
          <w:tab w:val="num" w:pos="5040"/>
        </w:tabs>
        <w:ind w:left="5040" w:hanging="360"/>
      </w:pPr>
      <w:rPr>
        <w:rFonts w:ascii="Symbol" w:hAnsi="Symbol" w:hint="default"/>
      </w:rPr>
    </w:lvl>
    <w:lvl w:ilvl="7" w:tplc="1B70F828" w:tentative="1">
      <w:start w:val="1"/>
      <w:numFmt w:val="bullet"/>
      <w:lvlText w:val=""/>
      <w:lvlJc w:val="left"/>
      <w:pPr>
        <w:tabs>
          <w:tab w:val="num" w:pos="5760"/>
        </w:tabs>
        <w:ind w:left="5760" w:hanging="360"/>
      </w:pPr>
      <w:rPr>
        <w:rFonts w:ascii="Symbol" w:hAnsi="Symbol" w:hint="default"/>
      </w:rPr>
    </w:lvl>
    <w:lvl w:ilvl="8" w:tplc="C2DCFEC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16317BD"/>
    <w:multiLevelType w:val="hybridMultilevel"/>
    <w:tmpl w:val="CC6A94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540C9A"/>
    <w:multiLevelType w:val="hybridMultilevel"/>
    <w:tmpl w:val="51546C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FF2954"/>
    <w:multiLevelType w:val="hybridMultilevel"/>
    <w:tmpl w:val="8182DC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4102632"/>
    <w:multiLevelType w:val="hybridMultilevel"/>
    <w:tmpl w:val="1DB87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0EED13"/>
    <w:multiLevelType w:val="hybridMultilevel"/>
    <w:tmpl w:val="7DEAF70A"/>
    <w:lvl w:ilvl="0" w:tplc="FFFFFFFF">
      <w:start w:val="1"/>
      <w:numFmt w:val="ideographDigital"/>
      <w:lvlText w:val=""/>
      <w:lvlJc w:val="left"/>
    </w:lvl>
    <w:lvl w:ilvl="1" w:tplc="04150017">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F70075B"/>
    <w:multiLevelType w:val="hybridMultilevel"/>
    <w:tmpl w:val="B46E65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7C43AA"/>
    <w:multiLevelType w:val="hybridMultilevel"/>
    <w:tmpl w:val="30268866"/>
    <w:lvl w:ilvl="0" w:tplc="10D0820C">
      <w:start w:val="1"/>
      <w:numFmt w:val="bullet"/>
      <w:lvlText w:val="-"/>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67654F2">
      <w:start w:val="1"/>
      <w:numFmt w:val="bullet"/>
      <w:lvlText w:val="o"/>
      <w:lvlJc w:val="left"/>
      <w:pPr>
        <w:ind w:left="1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7829946">
      <w:start w:val="1"/>
      <w:numFmt w:val="bullet"/>
      <w:lvlText w:val="▪"/>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3E21200">
      <w:start w:val="1"/>
      <w:numFmt w:val="bullet"/>
      <w:lvlText w:val="•"/>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636C986">
      <w:start w:val="1"/>
      <w:numFmt w:val="bullet"/>
      <w:lvlText w:val="o"/>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5329E30">
      <w:start w:val="1"/>
      <w:numFmt w:val="bullet"/>
      <w:lvlText w:val="▪"/>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B085342">
      <w:start w:val="1"/>
      <w:numFmt w:val="bullet"/>
      <w:lvlText w:val="•"/>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580A772">
      <w:start w:val="1"/>
      <w:numFmt w:val="bullet"/>
      <w:lvlText w:val="o"/>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F9EFB8A">
      <w:start w:val="1"/>
      <w:numFmt w:val="bullet"/>
      <w:lvlText w:val="▪"/>
      <w:lvlJc w:val="left"/>
      <w:pPr>
        <w:ind w:left="6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15:restartNumberingAfterBreak="0">
    <w:nsid w:val="63DE0193"/>
    <w:multiLevelType w:val="multilevel"/>
    <w:tmpl w:val="29981EC4"/>
    <w:name w:val="WW8Num12222222222442"/>
    <w:lvl w:ilvl="0">
      <w:start w:val="7"/>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776653C"/>
    <w:multiLevelType w:val="hybridMultilevel"/>
    <w:tmpl w:val="BF1E9B8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69937E36"/>
    <w:multiLevelType w:val="hybridMultilevel"/>
    <w:tmpl w:val="405C590E"/>
    <w:name w:val="WW8Num4532"/>
    <w:lvl w:ilvl="0" w:tplc="9D02E43E">
      <w:start w:val="1"/>
      <w:numFmt w:val="decimal"/>
      <w:lvlText w:val="%1)"/>
      <w:lvlJc w:val="left"/>
      <w:pPr>
        <w:tabs>
          <w:tab w:val="num" w:pos="4218"/>
        </w:tabs>
        <w:ind w:left="4218"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BAB5491"/>
    <w:multiLevelType w:val="hybridMultilevel"/>
    <w:tmpl w:val="8796E5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EA23C1"/>
    <w:multiLevelType w:val="hybridMultilevel"/>
    <w:tmpl w:val="A178F1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E296640"/>
    <w:multiLevelType w:val="hybridMultilevel"/>
    <w:tmpl w:val="EA102A8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FB12221"/>
    <w:multiLevelType w:val="hybridMultilevel"/>
    <w:tmpl w:val="1CA8AE4E"/>
    <w:lvl w:ilvl="0" w:tplc="5DB2FC32">
      <w:start w:val="1"/>
      <w:numFmt w:val="lowerLetter"/>
      <w:lvlText w:val="%1)"/>
      <w:lvlJc w:val="left"/>
      <w:pPr>
        <w:ind w:left="12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51CD3D2">
      <w:start w:val="1"/>
      <w:numFmt w:val="lowerLetter"/>
      <w:lvlText w:val="%2"/>
      <w:lvlJc w:val="left"/>
      <w:pPr>
        <w:ind w:left="1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1ED700">
      <w:start w:val="1"/>
      <w:numFmt w:val="lowerRoman"/>
      <w:lvlText w:val="%3"/>
      <w:lvlJc w:val="left"/>
      <w:pPr>
        <w:ind w:left="2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382AFE0">
      <w:start w:val="1"/>
      <w:numFmt w:val="decimal"/>
      <w:lvlText w:val="%4"/>
      <w:lvlJc w:val="left"/>
      <w:pPr>
        <w:ind w:left="3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08605AE">
      <w:start w:val="1"/>
      <w:numFmt w:val="lowerLetter"/>
      <w:lvlText w:val="%5"/>
      <w:lvlJc w:val="left"/>
      <w:pPr>
        <w:ind w:left="4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2A2C42">
      <w:start w:val="1"/>
      <w:numFmt w:val="lowerRoman"/>
      <w:lvlText w:val="%6"/>
      <w:lvlJc w:val="left"/>
      <w:pPr>
        <w:ind w:left="4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446B38E">
      <w:start w:val="1"/>
      <w:numFmt w:val="decimal"/>
      <w:lvlText w:val="%7"/>
      <w:lvlJc w:val="left"/>
      <w:pPr>
        <w:ind w:left="5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627042">
      <w:start w:val="1"/>
      <w:numFmt w:val="lowerLetter"/>
      <w:lvlText w:val="%8"/>
      <w:lvlJc w:val="left"/>
      <w:pPr>
        <w:ind w:left="6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3480E2E">
      <w:start w:val="1"/>
      <w:numFmt w:val="lowerRoman"/>
      <w:lvlText w:val="%9"/>
      <w:lvlJc w:val="left"/>
      <w:pPr>
        <w:ind w:left="6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7A393F15"/>
    <w:multiLevelType w:val="hybridMultilevel"/>
    <w:tmpl w:val="9654BB90"/>
    <w:lvl w:ilvl="0" w:tplc="04150011">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CF38C3"/>
    <w:multiLevelType w:val="hybridMultilevel"/>
    <w:tmpl w:val="ABD805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9979582">
    <w:abstractNumId w:val="8"/>
  </w:num>
  <w:num w:numId="2" w16cid:durableId="701327131">
    <w:abstractNumId w:val="15"/>
  </w:num>
  <w:num w:numId="3" w16cid:durableId="2106611117">
    <w:abstractNumId w:val="4"/>
  </w:num>
  <w:num w:numId="4" w16cid:durableId="1866476659">
    <w:abstractNumId w:val="21"/>
  </w:num>
  <w:num w:numId="5" w16cid:durableId="1874885371">
    <w:abstractNumId w:val="17"/>
  </w:num>
  <w:num w:numId="6" w16cid:durableId="497428144">
    <w:abstractNumId w:val="0"/>
  </w:num>
  <w:num w:numId="7" w16cid:durableId="225923655">
    <w:abstractNumId w:val="7"/>
  </w:num>
  <w:num w:numId="8" w16cid:durableId="738986453">
    <w:abstractNumId w:val="23"/>
  </w:num>
  <w:num w:numId="9" w16cid:durableId="764878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012769">
    <w:abstractNumId w:val="19"/>
  </w:num>
  <w:num w:numId="11" w16cid:durableId="1681857961">
    <w:abstractNumId w:val="2"/>
  </w:num>
  <w:num w:numId="12" w16cid:durableId="2068144939">
    <w:abstractNumId w:val="10"/>
  </w:num>
  <w:num w:numId="13" w16cid:durableId="2091350366">
    <w:abstractNumId w:val="24"/>
  </w:num>
  <w:num w:numId="14" w16cid:durableId="1180001468">
    <w:abstractNumId w:val="18"/>
  </w:num>
  <w:num w:numId="15" w16cid:durableId="1153369679">
    <w:abstractNumId w:val="6"/>
  </w:num>
  <w:num w:numId="16" w16cid:durableId="1088115275">
    <w:abstractNumId w:val="27"/>
  </w:num>
  <w:num w:numId="17" w16cid:durableId="69471237">
    <w:abstractNumId w:val="26"/>
  </w:num>
  <w:num w:numId="18" w16cid:durableId="1291476506">
    <w:abstractNumId w:val="14"/>
  </w:num>
  <w:num w:numId="19" w16cid:durableId="1501853889">
    <w:abstractNumId w:val="13"/>
  </w:num>
  <w:num w:numId="20" w16cid:durableId="1315915336">
    <w:abstractNumId w:val="1"/>
  </w:num>
  <w:num w:numId="21" w16cid:durableId="2117745694">
    <w:abstractNumId w:val="28"/>
  </w:num>
  <w:num w:numId="22" w16cid:durableId="1867133963">
    <w:abstractNumId w:val="16"/>
  </w:num>
  <w:num w:numId="23" w16cid:durableId="1871382440">
    <w:abstractNumId w:val="12"/>
  </w:num>
  <w:num w:numId="24" w16cid:durableId="486358723">
    <w:abstractNumId w:val="25"/>
  </w:num>
  <w:num w:numId="25" w16cid:durableId="126510876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BE"/>
    <w:rsid w:val="0000313B"/>
    <w:rsid w:val="000072FD"/>
    <w:rsid w:val="00011D4D"/>
    <w:rsid w:val="00013DFB"/>
    <w:rsid w:val="000145B6"/>
    <w:rsid w:val="00015A10"/>
    <w:rsid w:val="00015A7F"/>
    <w:rsid w:val="000279FC"/>
    <w:rsid w:val="0003081D"/>
    <w:rsid w:val="000369B3"/>
    <w:rsid w:val="00040466"/>
    <w:rsid w:val="00040637"/>
    <w:rsid w:val="0004788F"/>
    <w:rsid w:val="0005251E"/>
    <w:rsid w:val="00052985"/>
    <w:rsid w:val="0006551C"/>
    <w:rsid w:val="00066BE7"/>
    <w:rsid w:val="000744FF"/>
    <w:rsid w:val="00076F91"/>
    <w:rsid w:val="00081811"/>
    <w:rsid w:val="0009268A"/>
    <w:rsid w:val="00092C10"/>
    <w:rsid w:val="00092F4E"/>
    <w:rsid w:val="00093C38"/>
    <w:rsid w:val="00095BCE"/>
    <w:rsid w:val="000A068A"/>
    <w:rsid w:val="000A0BBC"/>
    <w:rsid w:val="000A3512"/>
    <w:rsid w:val="000B0B6B"/>
    <w:rsid w:val="000B408B"/>
    <w:rsid w:val="000B47EC"/>
    <w:rsid w:val="000B59C6"/>
    <w:rsid w:val="000B6FCA"/>
    <w:rsid w:val="000C2053"/>
    <w:rsid w:val="000C45A8"/>
    <w:rsid w:val="000C4C34"/>
    <w:rsid w:val="000C62C3"/>
    <w:rsid w:val="000C631E"/>
    <w:rsid w:val="000C696F"/>
    <w:rsid w:val="000C6D32"/>
    <w:rsid w:val="000D1ADF"/>
    <w:rsid w:val="000D4150"/>
    <w:rsid w:val="000D469F"/>
    <w:rsid w:val="000D5ED9"/>
    <w:rsid w:val="000D62A5"/>
    <w:rsid w:val="000D6403"/>
    <w:rsid w:val="000D7030"/>
    <w:rsid w:val="000E1FCF"/>
    <w:rsid w:val="000E26CD"/>
    <w:rsid w:val="000E28DE"/>
    <w:rsid w:val="000E2A96"/>
    <w:rsid w:val="000E3D0F"/>
    <w:rsid w:val="000E5A72"/>
    <w:rsid w:val="000E63D9"/>
    <w:rsid w:val="000F209A"/>
    <w:rsid w:val="000F2EE7"/>
    <w:rsid w:val="000F30E4"/>
    <w:rsid w:val="000F33A6"/>
    <w:rsid w:val="000F4A6A"/>
    <w:rsid w:val="000F4CB2"/>
    <w:rsid w:val="00100017"/>
    <w:rsid w:val="00103834"/>
    <w:rsid w:val="0010398B"/>
    <w:rsid w:val="00104EAF"/>
    <w:rsid w:val="00107E7B"/>
    <w:rsid w:val="00110425"/>
    <w:rsid w:val="00110A62"/>
    <w:rsid w:val="00110E4B"/>
    <w:rsid w:val="001129C5"/>
    <w:rsid w:val="001142CA"/>
    <w:rsid w:val="00115AF5"/>
    <w:rsid w:val="00123F09"/>
    <w:rsid w:val="001250CD"/>
    <w:rsid w:val="00125799"/>
    <w:rsid w:val="001269ED"/>
    <w:rsid w:val="00126D14"/>
    <w:rsid w:val="0013343F"/>
    <w:rsid w:val="00133B2D"/>
    <w:rsid w:val="00133BA5"/>
    <w:rsid w:val="00140D14"/>
    <w:rsid w:val="00140F1D"/>
    <w:rsid w:val="00141419"/>
    <w:rsid w:val="00141EAB"/>
    <w:rsid w:val="00145BF8"/>
    <w:rsid w:val="001461E9"/>
    <w:rsid w:val="001466FC"/>
    <w:rsid w:val="00146705"/>
    <w:rsid w:val="00147830"/>
    <w:rsid w:val="0015253B"/>
    <w:rsid w:val="00153379"/>
    <w:rsid w:val="001561D3"/>
    <w:rsid w:val="0015625C"/>
    <w:rsid w:val="001562EB"/>
    <w:rsid w:val="00157B2F"/>
    <w:rsid w:val="00160077"/>
    <w:rsid w:val="001611A6"/>
    <w:rsid w:val="001611C3"/>
    <w:rsid w:val="00161D3E"/>
    <w:rsid w:val="00163852"/>
    <w:rsid w:val="00165239"/>
    <w:rsid w:val="00165893"/>
    <w:rsid w:val="00166F44"/>
    <w:rsid w:val="001709D6"/>
    <w:rsid w:val="00172963"/>
    <w:rsid w:val="00176814"/>
    <w:rsid w:val="00176892"/>
    <w:rsid w:val="001776EA"/>
    <w:rsid w:val="00177A48"/>
    <w:rsid w:val="001801DD"/>
    <w:rsid w:val="00186BB0"/>
    <w:rsid w:val="0018746F"/>
    <w:rsid w:val="001909BB"/>
    <w:rsid w:val="001944A7"/>
    <w:rsid w:val="0019510A"/>
    <w:rsid w:val="0019516C"/>
    <w:rsid w:val="0019554B"/>
    <w:rsid w:val="001A21C5"/>
    <w:rsid w:val="001A60F9"/>
    <w:rsid w:val="001A7DE8"/>
    <w:rsid w:val="001B0E86"/>
    <w:rsid w:val="001B1071"/>
    <w:rsid w:val="001B3070"/>
    <w:rsid w:val="001B34CF"/>
    <w:rsid w:val="001B5A42"/>
    <w:rsid w:val="001B7385"/>
    <w:rsid w:val="001C080D"/>
    <w:rsid w:val="001C1970"/>
    <w:rsid w:val="001C3558"/>
    <w:rsid w:val="001C5AA8"/>
    <w:rsid w:val="001C63C3"/>
    <w:rsid w:val="001C6F4E"/>
    <w:rsid w:val="001C77AF"/>
    <w:rsid w:val="001D4883"/>
    <w:rsid w:val="001D48B0"/>
    <w:rsid w:val="001D6A66"/>
    <w:rsid w:val="001E0971"/>
    <w:rsid w:val="001E0E61"/>
    <w:rsid w:val="001E46AD"/>
    <w:rsid w:val="001E4B92"/>
    <w:rsid w:val="001E76DA"/>
    <w:rsid w:val="001E7BE9"/>
    <w:rsid w:val="001F01DD"/>
    <w:rsid w:val="001F56F5"/>
    <w:rsid w:val="001F7316"/>
    <w:rsid w:val="002007C4"/>
    <w:rsid w:val="00205C6E"/>
    <w:rsid w:val="0021219A"/>
    <w:rsid w:val="00212D91"/>
    <w:rsid w:val="00214316"/>
    <w:rsid w:val="002176E6"/>
    <w:rsid w:val="00221376"/>
    <w:rsid w:val="00221A84"/>
    <w:rsid w:val="00222A31"/>
    <w:rsid w:val="0022300F"/>
    <w:rsid w:val="002249C9"/>
    <w:rsid w:val="0022501D"/>
    <w:rsid w:val="002339DA"/>
    <w:rsid w:val="00235636"/>
    <w:rsid w:val="002357A6"/>
    <w:rsid w:val="00236DB6"/>
    <w:rsid w:val="00242DB4"/>
    <w:rsid w:val="002441F4"/>
    <w:rsid w:val="002447FA"/>
    <w:rsid w:val="00245848"/>
    <w:rsid w:val="00246374"/>
    <w:rsid w:val="002464DC"/>
    <w:rsid w:val="002472E8"/>
    <w:rsid w:val="00250CA8"/>
    <w:rsid w:val="00250FBC"/>
    <w:rsid w:val="00252A06"/>
    <w:rsid w:val="00253322"/>
    <w:rsid w:val="00257606"/>
    <w:rsid w:val="002602DD"/>
    <w:rsid w:val="0026335C"/>
    <w:rsid w:val="002635E5"/>
    <w:rsid w:val="00267180"/>
    <w:rsid w:val="002715AA"/>
    <w:rsid w:val="00273212"/>
    <w:rsid w:val="00275E67"/>
    <w:rsid w:val="00280AE7"/>
    <w:rsid w:val="002821D0"/>
    <w:rsid w:val="0028343B"/>
    <w:rsid w:val="00283CB6"/>
    <w:rsid w:val="00286246"/>
    <w:rsid w:val="002925C7"/>
    <w:rsid w:val="00292978"/>
    <w:rsid w:val="00293216"/>
    <w:rsid w:val="00294773"/>
    <w:rsid w:val="002949EE"/>
    <w:rsid w:val="00296E3F"/>
    <w:rsid w:val="002973F5"/>
    <w:rsid w:val="00297BD0"/>
    <w:rsid w:val="002A0A74"/>
    <w:rsid w:val="002A1D82"/>
    <w:rsid w:val="002A3ED2"/>
    <w:rsid w:val="002A4D17"/>
    <w:rsid w:val="002B3271"/>
    <w:rsid w:val="002B3B96"/>
    <w:rsid w:val="002B6692"/>
    <w:rsid w:val="002B7890"/>
    <w:rsid w:val="002C1E23"/>
    <w:rsid w:val="002C49EC"/>
    <w:rsid w:val="002C77CF"/>
    <w:rsid w:val="002C7A7E"/>
    <w:rsid w:val="002D015F"/>
    <w:rsid w:val="002D1072"/>
    <w:rsid w:val="002D5F46"/>
    <w:rsid w:val="002E0A67"/>
    <w:rsid w:val="002E0C99"/>
    <w:rsid w:val="002E1AE0"/>
    <w:rsid w:val="002E3842"/>
    <w:rsid w:val="002E3ECE"/>
    <w:rsid w:val="002F0AA3"/>
    <w:rsid w:val="002F0D8A"/>
    <w:rsid w:val="002F3170"/>
    <w:rsid w:val="002F5279"/>
    <w:rsid w:val="002F5A4D"/>
    <w:rsid w:val="002F7788"/>
    <w:rsid w:val="00300258"/>
    <w:rsid w:val="00300B77"/>
    <w:rsid w:val="00300E12"/>
    <w:rsid w:val="00303DED"/>
    <w:rsid w:val="00304D64"/>
    <w:rsid w:val="00313568"/>
    <w:rsid w:val="00313BB6"/>
    <w:rsid w:val="00314AC1"/>
    <w:rsid w:val="0031513B"/>
    <w:rsid w:val="0031592D"/>
    <w:rsid w:val="003203EA"/>
    <w:rsid w:val="00321C46"/>
    <w:rsid w:val="00321E74"/>
    <w:rsid w:val="003220B3"/>
    <w:rsid w:val="00322CE8"/>
    <w:rsid w:val="00326034"/>
    <w:rsid w:val="00330518"/>
    <w:rsid w:val="003332E6"/>
    <w:rsid w:val="0033545D"/>
    <w:rsid w:val="00340E5C"/>
    <w:rsid w:val="003446D9"/>
    <w:rsid w:val="00345EFC"/>
    <w:rsid w:val="00347851"/>
    <w:rsid w:val="00351C3E"/>
    <w:rsid w:val="00352918"/>
    <w:rsid w:val="00354EAB"/>
    <w:rsid w:val="003551F7"/>
    <w:rsid w:val="003561B0"/>
    <w:rsid w:val="00360044"/>
    <w:rsid w:val="00361913"/>
    <w:rsid w:val="0036242B"/>
    <w:rsid w:val="00362694"/>
    <w:rsid w:val="00371141"/>
    <w:rsid w:val="00376D0F"/>
    <w:rsid w:val="0038123A"/>
    <w:rsid w:val="003827FB"/>
    <w:rsid w:val="00382D80"/>
    <w:rsid w:val="00383DDD"/>
    <w:rsid w:val="003900C0"/>
    <w:rsid w:val="00392778"/>
    <w:rsid w:val="003A1F97"/>
    <w:rsid w:val="003A3ACB"/>
    <w:rsid w:val="003A6A3C"/>
    <w:rsid w:val="003A705E"/>
    <w:rsid w:val="003A7AB5"/>
    <w:rsid w:val="003B190C"/>
    <w:rsid w:val="003B23E5"/>
    <w:rsid w:val="003B3D76"/>
    <w:rsid w:val="003B605D"/>
    <w:rsid w:val="003B6B50"/>
    <w:rsid w:val="003B6D61"/>
    <w:rsid w:val="003B7094"/>
    <w:rsid w:val="003B7675"/>
    <w:rsid w:val="003C1DB2"/>
    <w:rsid w:val="003C1DB3"/>
    <w:rsid w:val="003C7465"/>
    <w:rsid w:val="003D0DC7"/>
    <w:rsid w:val="003E01C5"/>
    <w:rsid w:val="003E278E"/>
    <w:rsid w:val="003E299A"/>
    <w:rsid w:val="003E3783"/>
    <w:rsid w:val="003F2062"/>
    <w:rsid w:val="003F2B27"/>
    <w:rsid w:val="003F5089"/>
    <w:rsid w:val="003F639B"/>
    <w:rsid w:val="003F660E"/>
    <w:rsid w:val="003F7CCA"/>
    <w:rsid w:val="004009F5"/>
    <w:rsid w:val="0041750B"/>
    <w:rsid w:val="0042084F"/>
    <w:rsid w:val="00420D5D"/>
    <w:rsid w:val="00421425"/>
    <w:rsid w:val="00423228"/>
    <w:rsid w:val="00423C9D"/>
    <w:rsid w:val="004274C0"/>
    <w:rsid w:val="00435764"/>
    <w:rsid w:val="00440713"/>
    <w:rsid w:val="00446D0A"/>
    <w:rsid w:val="00452DFF"/>
    <w:rsid w:val="00455D20"/>
    <w:rsid w:val="00457A0B"/>
    <w:rsid w:val="0046071E"/>
    <w:rsid w:val="00460B08"/>
    <w:rsid w:val="00460D49"/>
    <w:rsid w:val="00460F39"/>
    <w:rsid w:val="00464459"/>
    <w:rsid w:val="00466B2B"/>
    <w:rsid w:val="00470FA6"/>
    <w:rsid w:val="004716B0"/>
    <w:rsid w:val="00473B06"/>
    <w:rsid w:val="004801B7"/>
    <w:rsid w:val="00482D31"/>
    <w:rsid w:val="004840BF"/>
    <w:rsid w:val="00487041"/>
    <w:rsid w:val="0049180B"/>
    <w:rsid w:val="0049672B"/>
    <w:rsid w:val="00496BCA"/>
    <w:rsid w:val="004A116C"/>
    <w:rsid w:val="004A1EAD"/>
    <w:rsid w:val="004A266D"/>
    <w:rsid w:val="004A47B0"/>
    <w:rsid w:val="004A5249"/>
    <w:rsid w:val="004A7723"/>
    <w:rsid w:val="004A7A1C"/>
    <w:rsid w:val="004B3B0B"/>
    <w:rsid w:val="004B4B09"/>
    <w:rsid w:val="004B55A4"/>
    <w:rsid w:val="004B68C4"/>
    <w:rsid w:val="004C370F"/>
    <w:rsid w:val="004C52FF"/>
    <w:rsid w:val="004C61F7"/>
    <w:rsid w:val="004C6DA0"/>
    <w:rsid w:val="004C6ED5"/>
    <w:rsid w:val="004D4C99"/>
    <w:rsid w:val="004D58D9"/>
    <w:rsid w:val="004D6237"/>
    <w:rsid w:val="004E0D7F"/>
    <w:rsid w:val="004E1CC3"/>
    <w:rsid w:val="004E36D6"/>
    <w:rsid w:val="004E39D4"/>
    <w:rsid w:val="004E4833"/>
    <w:rsid w:val="004E5131"/>
    <w:rsid w:val="004F16F4"/>
    <w:rsid w:val="004F25A7"/>
    <w:rsid w:val="004F2E30"/>
    <w:rsid w:val="004F34EB"/>
    <w:rsid w:val="004F5E6E"/>
    <w:rsid w:val="004F6E23"/>
    <w:rsid w:val="004F7933"/>
    <w:rsid w:val="004F796E"/>
    <w:rsid w:val="00512D75"/>
    <w:rsid w:val="0051389A"/>
    <w:rsid w:val="005210CB"/>
    <w:rsid w:val="00522360"/>
    <w:rsid w:val="005248A8"/>
    <w:rsid w:val="00524AD4"/>
    <w:rsid w:val="00526053"/>
    <w:rsid w:val="00526427"/>
    <w:rsid w:val="005264EC"/>
    <w:rsid w:val="00527E59"/>
    <w:rsid w:val="00531FEA"/>
    <w:rsid w:val="0053317B"/>
    <w:rsid w:val="00533C16"/>
    <w:rsid w:val="00535E1F"/>
    <w:rsid w:val="00537572"/>
    <w:rsid w:val="0054107A"/>
    <w:rsid w:val="00541876"/>
    <w:rsid w:val="00541E40"/>
    <w:rsid w:val="00542ECB"/>
    <w:rsid w:val="005450BE"/>
    <w:rsid w:val="005457DF"/>
    <w:rsid w:val="00550F25"/>
    <w:rsid w:val="005514BA"/>
    <w:rsid w:val="005524BC"/>
    <w:rsid w:val="0055450E"/>
    <w:rsid w:val="005549A7"/>
    <w:rsid w:val="00556BB6"/>
    <w:rsid w:val="005607F4"/>
    <w:rsid w:val="00562028"/>
    <w:rsid w:val="005621F0"/>
    <w:rsid w:val="00563EA0"/>
    <w:rsid w:val="00565713"/>
    <w:rsid w:val="00565B18"/>
    <w:rsid w:val="00566ED7"/>
    <w:rsid w:val="00574995"/>
    <w:rsid w:val="00580882"/>
    <w:rsid w:val="00583285"/>
    <w:rsid w:val="0058532F"/>
    <w:rsid w:val="00587B76"/>
    <w:rsid w:val="0059232B"/>
    <w:rsid w:val="00595581"/>
    <w:rsid w:val="00595E9E"/>
    <w:rsid w:val="00595EA2"/>
    <w:rsid w:val="00596908"/>
    <w:rsid w:val="00596B9A"/>
    <w:rsid w:val="00597189"/>
    <w:rsid w:val="0059777A"/>
    <w:rsid w:val="005A22A6"/>
    <w:rsid w:val="005A2E61"/>
    <w:rsid w:val="005A3FFA"/>
    <w:rsid w:val="005A5A0E"/>
    <w:rsid w:val="005A7441"/>
    <w:rsid w:val="005B2583"/>
    <w:rsid w:val="005B43CD"/>
    <w:rsid w:val="005B4BAB"/>
    <w:rsid w:val="005C0300"/>
    <w:rsid w:val="005C0BD6"/>
    <w:rsid w:val="005C3773"/>
    <w:rsid w:val="005C57F0"/>
    <w:rsid w:val="005C5ECE"/>
    <w:rsid w:val="005D01EF"/>
    <w:rsid w:val="005D02DB"/>
    <w:rsid w:val="005D0AAA"/>
    <w:rsid w:val="005D11E7"/>
    <w:rsid w:val="005D27E7"/>
    <w:rsid w:val="005D46E9"/>
    <w:rsid w:val="005D49E8"/>
    <w:rsid w:val="005D4AD0"/>
    <w:rsid w:val="005D4D54"/>
    <w:rsid w:val="005D4D7E"/>
    <w:rsid w:val="005E46C6"/>
    <w:rsid w:val="005E63C6"/>
    <w:rsid w:val="005F2DED"/>
    <w:rsid w:val="005F30F0"/>
    <w:rsid w:val="005F37CD"/>
    <w:rsid w:val="005F4AA6"/>
    <w:rsid w:val="005F70CC"/>
    <w:rsid w:val="005F72BE"/>
    <w:rsid w:val="0060057A"/>
    <w:rsid w:val="00600CC8"/>
    <w:rsid w:val="00601FC4"/>
    <w:rsid w:val="00602F2B"/>
    <w:rsid w:val="00604C89"/>
    <w:rsid w:val="00606701"/>
    <w:rsid w:val="00606A34"/>
    <w:rsid w:val="00606ACC"/>
    <w:rsid w:val="00607ED4"/>
    <w:rsid w:val="006101C4"/>
    <w:rsid w:val="006105BE"/>
    <w:rsid w:val="00611951"/>
    <w:rsid w:val="00614925"/>
    <w:rsid w:val="00617C41"/>
    <w:rsid w:val="00617DBE"/>
    <w:rsid w:val="00620AAD"/>
    <w:rsid w:val="006252D9"/>
    <w:rsid w:val="00630A29"/>
    <w:rsid w:val="0063289B"/>
    <w:rsid w:val="006354B6"/>
    <w:rsid w:val="00635D1F"/>
    <w:rsid w:val="0063610F"/>
    <w:rsid w:val="00640079"/>
    <w:rsid w:val="00640BC5"/>
    <w:rsid w:val="00641A4D"/>
    <w:rsid w:val="0064316A"/>
    <w:rsid w:val="00644755"/>
    <w:rsid w:val="00644B89"/>
    <w:rsid w:val="00645B2C"/>
    <w:rsid w:val="00645D9C"/>
    <w:rsid w:val="006472A0"/>
    <w:rsid w:val="0064731A"/>
    <w:rsid w:val="0064774F"/>
    <w:rsid w:val="00650378"/>
    <w:rsid w:val="00651423"/>
    <w:rsid w:val="00651AA5"/>
    <w:rsid w:val="0065583D"/>
    <w:rsid w:val="00656742"/>
    <w:rsid w:val="00665599"/>
    <w:rsid w:val="00666067"/>
    <w:rsid w:val="0066794B"/>
    <w:rsid w:val="00667C7B"/>
    <w:rsid w:val="006728B5"/>
    <w:rsid w:val="00674B17"/>
    <w:rsid w:val="006753F1"/>
    <w:rsid w:val="00677789"/>
    <w:rsid w:val="00680E27"/>
    <w:rsid w:val="00681422"/>
    <w:rsid w:val="00681F22"/>
    <w:rsid w:val="00683D2A"/>
    <w:rsid w:val="006844BB"/>
    <w:rsid w:val="0068722E"/>
    <w:rsid w:val="006917DC"/>
    <w:rsid w:val="00693269"/>
    <w:rsid w:val="006939C7"/>
    <w:rsid w:val="006952FB"/>
    <w:rsid w:val="006A08C4"/>
    <w:rsid w:val="006A2DF3"/>
    <w:rsid w:val="006A386C"/>
    <w:rsid w:val="006A389E"/>
    <w:rsid w:val="006B19B6"/>
    <w:rsid w:val="006B1FD8"/>
    <w:rsid w:val="006B2447"/>
    <w:rsid w:val="006B3EAA"/>
    <w:rsid w:val="006B4DA2"/>
    <w:rsid w:val="006B5C72"/>
    <w:rsid w:val="006C0BF1"/>
    <w:rsid w:val="006C4E4B"/>
    <w:rsid w:val="006C73AB"/>
    <w:rsid w:val="006C7CDB"/>
    <w:rsid w:val="006D3057"/>
    <w:rsid w:val="006D3CC6"/>
    <w:rsid w:val="006E22D6"/>
    <w:rsid w:val="006E2AB4"/>
    <w:rsid w:val="006E3EFA"/>
    <w:rsid w:val="006E4C8C"/>
    <w:rsid w:val="006E6022"/>
    <w:rsid w:val="006E6CCE"/>
    <w:rsid w:val="006E73D2"/>
    <w:rsid w:val="006F0539"/>
    <w:rsid w:val="006F0A38"/>
    <w:rsid w:val="006F41CF"/>
    <w:rsid w:val="006F7F05"/>
    <w:rsid w:val="00702CD0"/>
    <w:rsid w:val="007057E7"/>
    <w:rsid w:val="00707FBB"/>
    <w:rsid w:val="00710454"/>
    <w:rsid w:val="007143A7"/>
    <w:rsid w:val="00733E88"/>
    <w:rsid w:val="0073502D"/>
    <w:rsid w:val="00735162"/>
    <w:rsid w:val="00736A13"/>
    <w:rsid w:val="00742243"/>
    <w:rsid w:val="007430BC"/>
    <w:rsid w:val="0074353D"/>
    <w:rsid w:val="007436A2"/>
    <w:rsid w:val="00743C72"/>
    <w:rsid w:val="00743E04"/>
    <w:rsid w:val="00745A9E"/>
    <w:rsid w:val="00751C64"/>
    <w:rsid w:val="00752A48"/>
    <w:rsid w:val="007531F7"/>
    <w:rsid w:val="007533EF"/>
    <w:rsid w:val="00755F04"/>
    <w:rsid w:val="00756540"/>
    <w:rsid w:val="00760684"/>
    <w:rsid w:val="00762202"/>
    <w:rsid w:val="00762A78"/>
    <w:rsid w:val="00765BF1"/>
    <w:rsid w:val="00767A5E"/>
    <w:rsid w:val="00772882"/>
    <w:rsid w:val="0077559B"/>
    <w:rsid w:val="0077754E"/>
    <w:rsid w:val="007903B9"/>
    <w:rsid w:val="00791387"/>
    <w:rsid w:val="00791EE2"/>
    <w:rsid w:val="00794123"/>
    <w:rsid w:val="0079462C"/>
    <w:rsid w:val="00794C61"/>
    <w:rsid w:val="00797BE5"/>
    <w:rsid w:val="007A0BD9"/>
    <w:rsid w:val="007A1BBC"/>
    <w:rsid w:val="007A30AF"/>
    <w:rsid w:val="007A36D1"/>
    <w:rsid w:val="007A38FB"/>
    <w:rsid w:val="007A5048"/>
    <w:rsid w:val="007B498B"/>
    <w:rsid w:val="007B6C98"/>
    <w:rsid w:val="007C0871"/>
    <w:rsid w:val="007C2647"/>
    <w:rsid w:val="007C441B"/>
    <w:rsid w:val="007C575F"/>
    <w:rsid w:val="007C7A72"/>
    <w:rsid w:val="007C7B2D"/>
    <w:rsid w:val="007D0AB0"/>
    <w:rsid w:val="007D0CFD"/>
    <w:rsid w:val="007D121B"/>
    <w:rsid w:val="007D155C"/>
    <w:rsid w:val="007D1CF9"/>
    <w:rsid w:val="007D21D0"/>
    <w:rsid w:val="007E1A69"/>
    <w:rsid w:val="007E3B16"/>
    <w:rsid w:val="007E51A7"/>
    <w:rsid w:val="007E750D"/>
    <w:rsid w:val="007F0A90"/>
    <w:rsid w:val="007F66C9"/>
    <w:rsid w:val="007F7E02"/>
    <w:rsid w:val="00800898"/>
    <w:rsid w:val="00810039"/>
    <w:rsid w:val="0081091F"/>
    <w:rsid w:val="00813025"/>
    <w:rsid w:val="00814C37"/>
    <w:rsid w:val="0081612A"/>
    <w:rsid w:val="00816C96"/>
    <w:rsid w:val="008171A8"/>
    <w:rsid w:val="00822D5B"/>
    <w:rsid w:val="00825853"/>
    <w:rsid w:val="008259A8"/>
    <w:rsid w:val="00825A59"/>
    <w:rsid w:val="00826855"/>
    <w:rsid w:val="00832922"/>
    <w:rsid w:val="00833B7E"/>
    <w:rsid w:val="008363DD"/>
    <w:rsid w:val="0084051D"/>
    <w:rsid w:val="00842ED4"/>
    <w:rsid w:val="008460C7"/>
    <w:rsid w:val="0084680C"/>
    <w:rsid w:val="0085310F"/>
    <w:rsid w:val="0085396D"/>
    <w:rsid w:val="00854A8A"/>
    <w:rsid w:val="00855DCB"/>
    <w:rsid w:val="00856EAB"/>
    <w:rsid w:val="008616FF"/>
    <w:rsid w:val="008639ED"/>
    <w:rsid w:val="0086711C"/>
    <w:rsid w:val="008671FA"/>
    <w:rsid w:val="008721B4"/>
    <w:rsid w:val="008734DE"/>
    <w:rsid w:val="00873755"/>
    <w:rsid w:val="008769AB"/>
    <w:rsid w:val="00877D9F"/>
    <w:rsid w:val="0088066B"/>
    <w:rsid w:val="00880919"/>
    <w:rsid w:val="0088151A"/>
    <w:rsid w:val="00883BFE"/>
    <w:rsid w:val="00890802"/>
    <w:rsid w:val="00891E1C"/>
    <w:rsid w:val="00892974"/>
    <w:rsid w:val="0089300C"/>
    <w:rsid w:val="00894A1B"/>
    <w:rsid w:val="00897B31"/>
    <w:rsid w:val="008A05A0"/>
    <w:rsid w:val="008A100E"/>
    <w:rsid w:val="008A4F77"/>
    <w:rsid w:val="008A62A6"/>
    <w:rsid w:val="008A7614"/>
    <w:rsid w:val="008B072B"/>
    <w:rsid w:val="008B0B65"/>
    <w:rsid w:val="008B1185"/>
    <w:rsid w:val="008B12E0"/>
    <w:rsid w:val="008B1429"/>
    <w:rsid w:val="008B2DA0"/>
    <w:rsid w:val="008B40E5"/>
    <w:rsid w:val="008B47F1"/>
    <w:rsid w:val="008B4F49"/>
    <w:rsid w:val="008B5C21"/>
    <w:rsid w:val="008B6611"/>
    <w:rsid w:val="008B7480"/>
    <w:rsid w:val="008B7782"/>
    <w:rsid w:val="008B7991"/>
    <w:rsid w:val="008C116F"/>
    <w:rsid w:val="008C1B32"/>
    <w:rsid w:val="008C3365"/>
    <w:rsid w:val="008C39EF"/>
    <w:rsid w:val="008C5E25"/>
    <w:rsid w:val="008D0A7D"/>
    <w:rsid w:val="008D0EB2"/>
    <w:rsid w:val="008D1D03"/>
    <w:rsid w:val="008D6857"/>
    <w:rsid w:val="008E37B4"/>
    <w:rsid w:val="008E4587"/>
    <w:rsid w:val="008E74D3"/>
    <w:rsid w:val="008F084B"/>
    <w:rsid w:val="008F2B15"/>
    <w:rsid w:val="008F4A42"/>
    <w:rsid w:val="008F56A9"/>
    <w:rsid w:val="00902F5D"/>
    <w:rsid w:val="00904EA4"/>
    <w:rsid w:val="00912C14"/>
    <w:rsid w:val="009140D8"/>
    <w:rsid w:val="009152E9"/>
    <w:rsid w:val="00917964"/>
    <w:rsid w:val="0092076D"/>
    <w:rsid w:val="00922421"/>
    <w:rsid w:val="0092346C"/>
    <w:rsid w:val="00925D65"/>
    <w:rsid w:val="0092722A"/>
    <w:rsid w:val="00927C88"/>
    <w:rsid w:val="00927ED2"/>
    <w:rsid w:val="00930F63"/>
    <w:rsid w:val="009355DA"/>
    <w:rsid w:val="00937A15"/>
    <w:rsid w:val="00940667"/>
    <w:rsid w:val="009435B4"/>
    <w:rsid w:val="009439ED"/>
    <w:rsid w:val="0095116D"/>
    <w:rsid w:val="00962E5E"/>
    <w:rsid w:val="00964B1C"/>
    <w:rsid w:val="009661FB"/>
    <w:rsid w:val="00970057"/>
    <w:rsid w:val="00973CB3"/>
    <w:rsid w:val="00976248"/>
    <w:rsid w:val="00977BA3"/>
    <w:rsid w:val="00981890"/>
    <w:rsid w:val="00983661"/>
    <w:rsid w:val="00983E4A"/>
    <w:rsid w:val="0098748E"/>
    <w:rsid w:val="00987923"/>
    <w:rsid w:val="0099109D"/>
    <w:rsid w:val="009926EF"/>
    <w:rsid w:val="00996D6C"/>
    <w:rsid w:val="009970A7"/>
    <w:rsid w:val="00997DDC"/>
    <w:rsid w:val="009A524F"/>
    <w:rsid w:val="009A6956"/>
    <w:rsid w:val="009A73E7"/>
    <w:rsid w:val="009B0B2C"/>
    <w:rsid w:val="009B12A5"/>
    <w:rsid w:val="009B1E76"/>
    <w:rsid w:val="009B3CEF"/>
    <w:rsid w:val="009B48AA"/>
    <w:rsid w:val="009B5623"/>
    <w:rsid w:val="009B7CC0"/>
    <w:rsid w:val="009C297A"/>
    <w:rsid w:val="009C2C0E"/>
    <w:rsid w:val="009C696B"/>
    <w:rsid w:val="009D399B"/>
    <w:rsid w:val="009D7C3A"/>
    <w:rsid w:val="009E3638"/>
    <w:rsid w:val="009E707A"/>
    <w:rsid w:val="009F1BF9"/>
    <w:rsid w:val="009F3178"/>
    <w:rsid w:val="009F389B"/>
    <w:rsid w:val="009F4763"/>
    <w:rsid w:val="009F49B8"/>
    <w:rsid w:val="009F510A"/>
    <w:rsid w:val="009F7445"/>
    <w:rsid w:val="00A0076D"/>
    <w:rsid w:val="00A01A65"/>
    <w:rsid w:val="00A07486"/>
    <w:rsid w:val="00A16071"/>
    <w:rsid w:val="00A16E51"/>
    <w:rsid w:val="00A22834"/>
    <w:rsid w:val="00A257F1"/>
    <w:rsid w:val="00A269D6"/>
    <w:rsid w:val="00A2710A"/>
    <w:rsid w:val="00A31976"/>
    <w:rsid w:val="00A31A3D"/>
    <w:rsid w:val="00A3649E"/>
    <w:rsid w:val="00A37B53"/>
    <w:rsid w:val="00A42CA6"/>
    <w:rsid w:val="00A4622B"/>
    <w:rsid w:val="00A47B27"/>
    <w:rsid w:val="00A50899"/>
    <w:rsid w:val="00A509B1"/>
    <w:rsid w:val="00A50B3D"/>
    <w:rsid w:val="00A50D7E"/>
    <w:rsid w:val="00A53360"/>
    <w:rsid w:val="00A5678C"/>
    <w:rsid w:val="00A57447"/>
    <w:rsid w:val="00A611E6"/>
    <w:rsid w:val="00A6163B"/>
    <w:rsid w:val="00A6502E"/>
    <w:rsid w:val="00A669B8"/>
    <w:rsid w:val="00A67A81"/>
    <w:rsid w:val="00A7222E"/>
    <w:rsid w:val="00A73935"/>
    <w:rsid w:val="00A74206"/>
    <w:rsid w:val="00A743D9"/>
    <w:rsid w:val="00A745D9"/>
    <w:rsid w:val="00A767C0"/>
    <w:rsid w:val="00A77BC0"/>
    <w:rsid w:val="00A77C55"/>
    <w:rsid w:val="00A77C75"/>
    <w:rsid w:val="00A808A0"/>
    <w:rsid w:val="00A8476A"/>
    <w:rsid w:val="00A84CD2"/>
    <w:rsid w:val="00A87D0F"/>
    <w:rsid w:val="00A87EAC"/>
    <w:rsid w:val="00A91FF2"/>
    <w:rsid w:val="00A921F6"/>
    <w:rsid w:val="00A92226"/>
    <w:rsid w:val="00A93971"/>
    <w:rsid w:val="00A93F26"/>
    <w:rsid w:val="00A94AA6"/>
    <w:rsid w:val="00A95149"/>
    <w:rsid w:val="00A95C8F"/>
    <w:rsid w:val="00AA23F5"/>
    <w:rsid w:val="00AA31EE"/>
    <w:rsid w:val="00AA493D"/>
    <w:rsid w:val="00AA6781"/>
    <w:rsid w:val="00AB65E6"/>
    <w:rsid w:val="00AB6628"/>
    <w:rsid w:val="00AC6BF5"/>
    <w:rsid w:val="00AD13C5"/>
    <w:rsid w:val="00AD2FF4"/>
    <w:rsid w:val="00AD4DED"/>
    <w:rsid w:val="00AD52BE"/>
    <w:rsid w:val="00AD7B89"/>
    <w:rsid w:val="00AE052E"/>
    <w:rsid w:val="00AE1FB4"/>
    <w:rsid w:val="00AE7B22"/>
    <w:rsid w:val="00AF0D1A"/>
    <w:rsid w:val="00AF2266"/>
    <w:rsid w:val="00AF3150"/>
    <w:rsid w:val="00AF4709"/>
    <w:rsid w:val="00AF54FB"/>
    <w:rsid w:val="00B00C6A"/>
    <w:rsid w:val="00B048CB"/>
    <w:rsid w:val="00B10192"/>
    <w:rsid w:val="00B10523"/>
    <w:rsid w:val="00B14931"/>
    <w:rsid w:val="00B16891"/>
    <w:rsid w:val="00B16CD5"/>
    <w:rsid w:val="00B172FF"/>
    <w:rsid w:val="00B21E30"/>
    <w:rsid w:val="00B221EE"/>
    <w:rsid w:val="00B2577E"/>
    <w:rsid w:val="00B260F1"/>
    <w:rsid w:val="00B34107"/>
    <w:rsid w:val="00B34AE8"/>
    <w:rsid w:val="00B35904"/>
    <w:rsid w:val="00B37577"/>
    <w:rsid w:val="00B41B0C"/>
    <w:rsid w:val="00B442EE"/>
    <w:rsid w:val="00B50CC0"/>
    <w:rsid w:val="00B51700"/>
    <w:rsid w:val="00B521E1"/>
    <w:rsid w:val="00B52E1F"/>
    <w:rsid w:val="00B557A1"/>
    <w:rsid w:val="00B56FA9"/>
    <w:rsid w:val="00B650B0"/>
    <w:rsid w:val="00B66E4B"/>
    <w:rsid w:val="00B67A4E"/>
    <w:rsid w:val="00B746A5"/>
    <w:rsid w:val="00B761A2"/>
    <w:rsid w:val="00B773BF"/>
    <w:rsid w:val="00B80D95"/>
    <w:rsid w:val="00B82AA0"/>
    <w:rsid w:val="00B83FA4"/>
    <w:rsid w:val="00B84590"/>
    <w:rsid w:val="00B85035"/>
    <w:rsid w:val="00B85232"/>
    <w:rsid w:val="00B859E6"/>
    <w:rsid w:val="00B86C79"/>
    <w:rsid w:val="00B86EF5"/>
    <w:rsid w:val="00B878D2"/>
    <w:rsid w:val="00B92AF4"/>
    <w:rsid w:val="00B9422A"/>
    <w:rsid w:val="00B94D4E"/>
    <w:rsid w:val="00BA511D"/>
    <w:rsid w:val="00BB1608"/>
    <w:rsid w:val="00BC0834"/>
    <w:rsid w:val="00BC11AE"/>
    <w:rsid w:val="00BC215C"/>
    <w:rsid w:val="00BC646B"/>
    <w:rsid w:val="00BD15FD"/>
    <w:rsid w:val="00BD1BC7"/>
    <w:rsid w:val="00BD32C4"/>
    <w:rsid w:val="00BD370D"/>
    <w:rsid w:val="00BD5326"/>
    <w:rsid w:val="00BD5BDC"/>
    <w:rsid w:val="00BE37ED"/>
    <w:rsid w:val="00BF007C"/>
    <w:rsid w:val="00BF0A3E"/>
    <w:rsid w:val="00BF1D75"/>
    <w:rsid w:val="00BF21BD"/>
    <w:rsid w:val="00BF5E7A"/>
    <w:rsid w:val="00BF5EAE"/>
    <w:rsid w:val="00BF629C"/>
    <w:rsid w:val="00BF6475"/>
    <w:rsid w:val="00C0080A"/>
    <w:rsid w:val="00C01951"/>
    <w:rsid w:val="00C10735"/>
    <w:rsid w:val="00C1141A"/>
    <w:rsid w:val="00C13FA1"/>
    <w:rsid w:val="00C14331"/>
    <w:rsid w:val="00C15DC5"/>
    <w:rsid w:val="00C17E0A"/>
    <w:rsid w:val="00C21484"/>
    <w:rsid w:val="00C216E0"/>
    <w:rsid w:val="00C22803"/>
    <w:rsid w:val="00C22894"/>
    <w:rsid w:val="00C23E66"/>
    <w:rsid w:val="00C24563"/>
    <w:rsid w:val="00C27FEF"/>
    <w:rsid w:val="00C30259"/>
    <w:rsid w:val="00C311A6"/>
    <w:rsid w:val="00C33B8E"/>
    <w:rsid w:val="00C35F24"/>
    <w:rsid w:val="00C3671F"/>
    <w:rsid w:val="00C37A90"/>
    <w:rsid w:val="00C4158E"/>
    <w:rsid w:val="00C428E2"/>
    <w:rsid w:val="00C5198F"/>
    <w:rsid w:val="00C52B85"/>
    <w:rsid w:val="00C544D5"/>
    <w:rsid w:val="00C5555F"/>
    <w:rsid w:val="00C6013D"/>
    <w:rsid w:val="00C619BA"/>
    <w:rsid w:val="00C621BE"/>
    <w:rsid w:val="00C64967"/>
    <w:rsid w:val="00C67610"/>
    <w:rsid w:val="00C70747"/>
    <w:rsid w:val="00C70A9C"/>
    <w:rsid w:val="00C713EF"/>
    <w:rsid w:val="00C71E8E"/>
    <w:rsid w:val="00C71F4F"/>
    <w:rsid w:val="00C759E1"/>
    <w:rsid w:val="00C77EB7"/>
    <w:rsid w:val="00C80862"/>
    <w:rsid w:val="00C844D1"/>
    <w:rsid w:val="00C859D2"/>
    <w:rsid w:val="00C8692B"/>
    <w:rsid w:val="00C87683"/>
    <w:rsid w:val="00C87ADD"/>
    <w:rsid w:val="00C9064F"/>
    <w:rsid w:val="00C949A1"/>
    <w:rsid w:val="00CA23B9"/>
    <w:rsid w:val="00CA33B0"/>
    <w:rsid w:val="00CA47CB"/>
    <w:rsid w:val="00CB76E3"/>
    <w:rsid w:val="00CC0236"/>
    <w:rsid w:val="00CC2CC5"/>
    <w:rsid w:val="00CC2F6E"/>
    <w:rsid w:val="00CD0946"/>
    <w:rsid w:val="00CD0A9E"/>
    <w:rsid w:val="00CD0C4A"/>
    <w:rsid w:val="00CD2511"/>
    <w:rsid w:val="00CD2AF8"/>
    <w:rsid w:val="00CD34BE"/>
    <w:rsid w:val="00CD6A58"/>
    <w:rsid w:val="00CE1C0E"/>
    <w:rsid w:val="00CE48F7"/>
    <w:rsid w:val="00CE6DCA"/>
    <w:rsid w:val="00CE7034"/>
    <w:rsid w:val="00CF0D7E"/>
    <w:rsid w:val="00CF776A"/>
    <w:rsid w:val="00D00097"/>
    <w:rsid w:val="00D0171A"/>
    <w:rsid w:val="00D01EE9"/>
    <w:rsid w:val="00D044D4"/>
    <w:rsid w:val="00D0570A"/>
    <w:rsid w:val="00D07BEA"/>
    <w:rsid w:val="00D105CA"/>
    <w:rsid w:val="00D12440"/>
    <w:rsid w:val="00D13476"/>
    <w:rsid w:val="00D13477"/>
    <w:rsid w:val="00D14FFA"/>
    <w:rsid w:val="00D2057C"/>
    <w:rsid w:val="00D21406"/>
    <w:rsid w:val="00D27BE9"/>
    <w:rsid w:val="00D30B5D"/>
    <w:rsid w:val="00D31251"/>
    <w:rsid w:val="00D35114"/>
    <w:rsid w:val="00D3570E"/>
    <w:rsid w:val="00D376A6"/>
    <w:rsid w:val="00D40072"/>
    <w:rsid w:val="00D405AC"/>
    <w:rsid w:val="00D4071C"/>
    <w:rsid w:val="00D40756"/>
    <w:rsid w:val="00D40A8D"/>
    <w:rsid w:val="00D430CA"/>
    <w:rsid w:val="00D44658"/>
    <w:rsid w:val="00D4638D"/>
    <w:rsid w:val="00D46822"/>
    <w:rsid w:val="00D47200"/>
    <w:rsid w:val="00D50429"/>
    <w:rsid w:val="00D51315"/>
    <w:rsid w:val="00D52BA5"/>
    <w:rsid w:val="00D53D06"/>
    <w:rsid w:val="00D55660"/>
    <w:rsid w:val="00D56DDD"/>
    <w:rsid w:val="00D629B9"/>
    <w:rsid w:val="00D6493A"/>
    <w:rsid w:val="00D67112"/>
    <w:rsid w:val="00D6785C"/>
    <w:rsid w:val="00D7172B"/>
    <w:rsid w:val="00D75062"/>
    <w:rsid w:val="00D756B2"/>
    <w:rsid w:val="00D77162"/>
    <w:rsid w:val="00D811D5"/>
    <w:rsid w:val="00D83A5C"/>
    <w:rsid w:val="00D84612"/>
    <w:rsid w:val="00D906B0"/>
    <w:rsid w:val="00D9078A"/>
    <w:rsid w:val="00D91385"/>
    <w:rsid w:val="00D93B96"/>
    <w:rsid w:val="00D94116"/>
    <w:rsid w:val="00D959FD"/>
    <w:rsid w:val="00D97D17"/>
    <w:rsid w:val="00DA08BA"/>
    <w:rsid w:val="00DA1568"/>
    <w:rsid w:val="00DA51FE"/>
    <w:rsid w:val="00DA66A7"/>
    <w:rsid w:val="00DB28DB"/>
    <w:rsid w:val="00DB4A1B"/>
    <w:rsid w:val="00DB5E7D"/>
    <w:rsid w:val="00DB7872"/>
    <w:rsid w:val="00DC11A5"/>
    <w:rsid w:val="00DD15F5"/>
    <w:rsid w:val="00DD6C9D"/>
    <w:rsid w:val="00DD7718"/>
    <w:rsid w:val="00DE125D"/>
    <w:rsid w:val="00DE3001"/>
    <w:rsid w:val="00DE3855"/>
    <w:rsid w:val="00DE3E84"/>
    <w:rsid w:val="00DE79F9"/>
    <w:rsid w:val="00DF0BAE"/>
    <w:rsid w:val="00DF172D"/>
    <w:rsid w:val="00E01046"/>
    <w:rsid w:val="00E01784"/>
    <w:rsid w:val="00E025B8"/>
    <w:rsid w:val="00E030EB"/>
    <w:rsid w:val="00E03291"/>
    <w:rsid w:val="00E0350C"/>
    <w:rsid w:val="00E06F9B"/>
    <w:rsid w:val="00E070D0"/>
    <w:rsid w:val="00E11419"/>
    <w:rsid w:val="00E22C66"/>
    <w:rsid w:val="00E23AB3"/>
    <w:rsid w:val="00E24329"/>
    <w:rsid w:val="00E268EA"/>
    <w:rsid w:val="00E26D42"/>
    <w:rsid w:val="00E30F11"/>
    <w:rsid w:val="00E311AC"/>
    <w:rsid w:val="00E3384B"/>
    <w:rsid w:val="00E3586C"/>
    <w:rsid w:val="00E37CCB"/>
    <w:rsid w:val="00E407D5"/>
    <w:rsid w:val="00E40D8D"/>
    <w:rsid w:val="00E46CB2"/>
    <w:rsid w:val="00E47667"/>
    <w:rsid w:val="00E477E0"/>
    <w:rsid w:val="00E47A5E"/>
    <w:rsid w:val="00E50141"/>
    <w:rsid w:val="00E505E2"/>
    <w:rsid w:val="00E513F3"/>
    <w:rsid w:val="00E51B9C"/>
    <w:rsid w:val="00E53427"/>
    <w:rsid w:val="00E55466"/>
    <w:rsid w:val="00E55579"/>
    <w:rsid w:val="00E56E12"/>
    <w:rsid w:val="00E60055"/>
    <w:rsid w:val="00E61A19"/>
    <w:rsid w:val="00E63883"/>
    <w:rsid w:val="00E65A4F"/>
    <w:rsid w:val="00E67178"/>
    <w:rsid w:val="00E67B0D"/>
    <w:rsid w:val="00E7247E"/>
    <w:rsid w:val="00E7591A"/>
    <w:rsid w:val="00E76ADB"/>
    <w:rsid w:val="00E774E6"/>
    <w:rsid w:val="00E815F7"/>
    <w:rsid w:val="00E81A40"/>
    <w:rsid w:val="00E81AE9"/>
    <w:rsid w:val="00E82FB2"/>
    <w:rsid w:val="00E84096"/>
    <w:rsid w:val="00E8680E"/>
    <w:rsid w:val="00E871CA"/>
    <w:rsid w:val="00E90BBF"/>
    <w:rsid w:val="00E926B9"/>
    <w:rsid w:val="00E92DA7"/>
    <w:rsid w:val="00E952A7"/>
    <w:rsid w:val="00E96D94"/>
    <w:rsid w:val="00EA03E5"/>
    <w:rsid w:val="00EA4090"/>
    <w:rsid w:val="00EA52E7"/>
    <w:rsid w:val="00EB2A16"/>
    <w:rsid w:val="00EB2C75"/>
    <w:rsid w:val="00EB44AA"/>
    <w:rsid w:val="00EC009D"/>
    <w:rsid w:val="00EC1222"/>
    <w:rsid w:val="00EC14A6"/>
    <w:rsid w:val="00EC2D73"/>
    <w:rsid w:val="00EC60B6"/>
    <w:rsid w:val="00ED206C"/>
    <w:rsid w:val="00ED2ADB"/>
    <w:rsid w:val="00ED5B7B"/>
    <w:rsid w:val="00ED7021"/>
    <w:rsid w:val="00ED776B"/>
    <w:rsid w:val="00EE2F40"/>
    <w:rsid w:val="00EE3347"/>
    <w:rsid w:val="00EE35DE"/>
    <w:rsid w:val="00EE36B9"/>
    <w:rsid w:val="00EE7A81"/>
    <w:rsid w:val="00EF01E5"/>
    <w:rsid w:val="00EF2B24"/>
    <w:rsid w:val="00EF57E3"/>
    <w:rsid w:val="00EF61A7"/>
    <w:rsid w:val="00F022C4"/>
    <w:rsid w:val="00F02E58"/>
    <w:rsid w:val="00F059A5"/>
    <w:rsid w:val="00F06C44"/>
    <w:rsid w:val="00F071FB"/>
    <w:rsid w:val="00F1438C"/>
    <w:rsid w:val="00F2212E"/>
    <w:rsid w:val="00F25E37"/>
    <w:rsid w:val="00F337EA"/>
    <w:rsid w:val="00F403B8"/>
    <w:rsid w:val="00F40733"/>
    <w:rsid w:val="00F40A2B"/>
    <w:rsid w:val="00F4361F"/>
    <w:rsid w:val="00F46134"/>
    <w:rsid w:val="00F51890"/>
    <w:rsid w:val="00F53604"/>
    <w:rsid w:val="00F61122"/>
    <w:rsid w:val="00F630DC"/>
    <w:rsid w:val="00F63E87"/>
    <w:rsid w:val="00F644FB"/>
    <w:rsid w:val="00F749BF"/>
    <w:rsid w:val="00F74A11"/>
    <w:rsid w:val="00F81926"/>
    <w:rsid w:val="00F82BD6"/>
    <w:rsid w:val="00F8353E"/>
    <w:rsid w:val="00F84961"/>
    <w:rsid w:val="00F8728D"/>
    <w:rsid w:val="00F874FF"/>
    <w:rsid w:val="00F93375"/>
    <w:rsid w:val="00F93E55"/>
    <w:rsid w:val="00F975BC"/>
    <w:rsid w:val="00FB1168"/>
    <w:rsid w:val="00FB11A2"/>
    <w:rsid w:val="00FB37CC"/>
    <w:rsid w:val="00FB3824"/>
    <w:rsid w:val="00FB4D04"/>
    <w:rsid w:val="00FB7668"/>
    <w:rsid w:val="00FC0813"/>
    <w:rsid w:val="00FC4D95"/>
    <w:rsid w:val="00FC6E81"/>
    <w:rsid w:val="00FD070C"/>
    <w:rsid w:val="00FD13F7"/>
    <w:rsid w:val="00FD2110"/>
    <w:rsid w:val="00FD2762"/>
    <w:rsid w:val="00FD3DC4"/>
    <w:rsid w:val="00FD6721"/>
    <w:rsid w:val="00FE0B24"/>
    <w:rsid w:val="00FE105F"/>
    <w:rsid w:val="00FE184E"/>
    <w:rsid w:val="00FE4A23"/>
    <w:rsid w:val="00FE5F73"/>
    <w:rsid w:val="00FE658B"/>
    <w:rsid w:val="00FE7790"/>
    <w:rsid w:val="00FE7F42"/>
    <w:rsid w:val="00FF5E42"/>
    <w:rsid w:val="00FF79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BBB5"/>
  <w15:docId w15:val="{CAD210A4-0C86-4804-B7AC-12925163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080A"/>
  </w:style>
  <w:style w:type="paragraph" w:styleId="Nagwek1">
    <w:name w:val="heading 1"/>
    <w:basedOn w:val="Normalny"/>
    <w:next w:val="Normalny"/>
    <w:link w:val="Nagwek1Znak"/>
    <w:uiPriority w:val="9"/>
    <w:qFormat/>
    <w:rsid w:val="0019516C"/>
    <w:pPr>
      <w:keepNext/>
      <w:pageBreakBefore/>
      <w:autoSpaceDE w:val="0"/>
      <w:autoSpaceDN w:val="0"/>
      <w:adjustRightInd w:val="0"/>
      <w:spacing w:after="120" w:line="264" w:lineRule="auto"/>
      <w:jc w:val="center"/>
      <w:outlineLvl w:val="0"/>
    </w:pPr>
    <w:rPr>
      <w:rFonts w:ascii="Times New Roman" w:eastAsia="Times New Roman" w:hAnsi="Times New Roman" w:cs="Times New Roman"/>
      <w:b/>
      <w:caps/>
      <w:snapToGrid w:val="0"/>
      <w:kern w:val="28"/>
      <w:position w:val="-10"/>
      <w:sz w:val="26"/>
      <w:szCs w:val="20"/>
      <w:lang w:eastAsia="pl-PL"/>
    </w:rPr>
  </w:style>
  <w:style w:type="paragraph" w:styleId="Nagwek2">
    <w:name w:val="heading 2"/>
    <w:basedOn w:val="Normalny"/>
    <w:next w:val="Normalny"/>
    <w:link w:val="Nagwek2Znak"/>
    <w:qFormat/>
    <w:rsid w:val="00C859D2"/>
    <w:pPr>
      <w:keepNext/>
      <w:spacing w:after="0" w:line="240" w:lineRule="auto"/>
      <w:jc w:val="center"/>
      <w:outlineLvl w:val="1"/>
    </w:pPr>
    <w:rPr>
      <w:rFonts w:ascii="Times New Roman" w:eastAsia="Times New Roman" w:hAnsi="Times New Roman" w:cs="Times New Roman"/>
      <w:b/>
      <w:bCs/>
      <w:sz w:val="24"/>
      <w:szCs w:val="24"/>
      <w:lang w:eastAsia="zh-CN"/>
    </w:rPr>
  </w:style>
  <w:style w:type="paragraph" w:styleId="Nagwek3">
    <w:name w:val="heading 3"/>
    <w:basedOn w:val="Normalny"/>
    <w:next w:val="Normalny"/>
    <w:link w:val="Nagwek3Znak"/>
    <w:uiPriority w:val="9"/>
    <w:semiHidden/>
    <w:unhideWhenUsed/>
    <w:qFormat/>
    <w:rsid w:val="006B19B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8">
    <w:name w:val="heading 8"/>
    <w:basedOn w:val="Normalny"/>
    <w:next w:val="Normalny"/>
    <w:link w:val="Nagwek8Znak"/>
    <w:uiPriority w:val="9"/>
    <w:semiHidden/>
    <w:unhideWhenUsed/>
    <w:qFormat/>
    <w:rsid w:val="00D93B9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s"/>
    <w:basedOn w:val="Normalny"/>
    <w:link w:val="AkapitzlistZnak"/>
    <w:uiPriority w:val="34"/>
    <w:qFormat/>
    <w:rsid w:val="00466B2B"/>
    <w:pPr>
      <w:ind w:left="720"/>
      <w:contextualSpacing/>
    </w:pPr>
  </w:style>
  <w:style w:type="table" w:styleId="Tabela-Siatka">
    <w:name w:val="Table Grid"/>
    <w:basedOn w:val="Standardowy"/>
    <w:uiPriority w:val="59"/>
    <w:rsid w:val="006E2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siatka1">
    <w:name w:val="Jasna siatka1"/>
    <w:basedOn w:val="Standardowy"/>
    <w:uiPriority w:val="62"/>
    <w:rsid w:val="002007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Siatka1">
    <w:name w:val="Tabela - Siatka1"/>
    <w:basedOn w:val="Standardowy"/>
    <w:next w:val="Tabela-Siatka"/>
    <w:uiPriority w:val="59"/>
    <w:rsid w:val="004E3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32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6D3057"/>
    <w:pPr>
      <w:spacing w:after="0" w:line="240" w:lineRule="auto"/>
      <w:jc w:val="center"/>
    </w:pPr>
    <w:rPr>
      <w:rFonts w:ascii="Times New Roman" w:eastAsia="Times New Roman" w:hAnsi="Times New Roman" w:cs="Times New Roman"/>
      <w:sz w:val="16"/>
      <w:szCs w:val="24"/>
      <w:lang w:eastAsia="pl-PL"/>
    </w:rPr>
  </w:style>
  <w:style w:type="character" w:customStyle="1" w:styleId="TekstpodstawowyZnak">
    <w:name w:val="Tekst podstawowy Znak"/>
    <w:basedOn w:val="Domylnaczcionkaakapitu"/>
    <w:link w:val="Tekstpodstawowy"/>
    <w:rsid w:val="006D3057"/>
    <w:rPr>
      <w:rFonts w:ascii="Times New Roman" w:eastAsia="Times New Roman" w:hAnsi="Times New Roman" w:cs="Times New Roman"/>
      <w:sz w:val="16"/>
      <w:szCs w:val="24"/>
      <w:lang w:eastAsia="pl-PL"/>
    </w:rPr>
  </w:style>
  <w:style w:type="paragraph" w:styleId="Tekstpodstawowy2">
    <w:name w:val="Body Text 2"/>
    <w:basedOn w:val="Normalny"/>
    <w:link w:val="Tekstpodstawowy2Znak"/>
    <w:rsid w:val="006D3057"/>
    <w:pPr>
      <w:spacing w:after="0" w:line="240" w:lineRule="auto"/>
      <w:jc w:val="both"/>
    </w:pPr>
    <w:rPr>
      <w:rFonts w:ascii="Tahoma" w:eastAsia="Times New Roman" w:hAnsi="Tahoma" w:cs="Tahoma"/>
      <w:sz w:val="24"/>
      <w:szCs w:val="24"/>
      <w:lang w:eastAsia="pl-PL"/>
    </w:rPr>
  </w:style>
  <w:style w:type="character" w:customStyle="1" w:styleId="Tekstpodstawowy2Znak">
    <w:name w:val="Tekst podstawowy 2 Znak"/>
    <w:basedOn w:val="Domylnaczcionkaakapitu"/>
    <w:link w:val="Tekstpodstawowy2"/>
    <w:rsid w:val="006D3057"/>
    <w:rPr>
      <w:rFonts w:ascii="Tahoma" w:eastAsia="Times New Roman" w:hAnsi="Tahoma" w:cs="Tahoma"/>
      <w:sz w:val="24"/>
      <w:szCs w:val="24"/>
      <w:lang w:eastAsia="pl-PL"/>
    </w:rPr>
  </w:style>
  <w:style w:type="character" w:customStyle="1" w:styleId="AkapitzlistZnak">
    <w:name w:val="Akapit z listą Znak"/>
    <w:aliases w:val="Bullets Znak"/>
    <w:link w:val="Akapitzlist"/>
    <w:uiPriority w:val="34"/>
    <w:rsid w:val="006D3057"/>
  </w:style>
  <w:style w:type="paragraph" w:styleId="Tekstpodstawowywcity">
    <w:name w:val="Body Text Indent"/>
    <w:basedOn w:val="Normalny"/>
    <w:link w:val="TekstpodstawowywcityZnak"/>
    <w:uiPriority w:val="99"/>
    <w:unhideWhenUsed/>
    <w:rsid w:val="00F53604"/>
    <w:pPr>
      <w:spacing w:after="120"/>
      <w:ind w:left="283"/>
    </w:pPr>
  </w:style>
  <w:style w:type="character" w:customStyle="1" w:styleId="TekstpodstawowywcityZnak">
    <w:name w:val="Tekst podstawowy wcięty Znak"/>
    <w:basedOn w:val="Domylnaczcionkaakapitu"/>
    <w:link w:val="Tekstpodstawowywcity"/>
    <w:uiPriority w:val="99"/>
    <w:rsid w:val="00F53604"/>
  </w:style>
  <w:style w:type="paragraph" w:styleId="Spistreci3">
    <w:name w:val="toc 3"/>
    <w:basedOn w:val="Normalny"/>
    <w:next w:val="Normalny"/>
    <w:autoRedefine/>
    <w:uiPriority w:val="39"/>
    <w:qFormat/>
    <w:rsid w:val="0098748E"/>
    <w:pPr>
      <w:tabs>
        <w:tab w:val="right" w:leader="dot" w:pos="9062"/>
      </w:tabs>
      <w:spacing w:before="360" w:after="0" w:line="240" w:lineRule="auto"/>
      <w:ind w:left="403"/>
      <w:jc w:val="both"/>
    </w:pPr>
    <w:rPr>
      <w:rFonts w:ascii="Times New Roman" w:eastAsia="Arial" w:hAnsi="Times New Roman" w:cs="Times New Roman"/>
      <w:noProof/>
      <w:snapToGrid w:val="0"/>
      <w:spacing w:val="2"/>
      <w:sz w:val="24"/>
      <w:lang w:eastAsia="pl-PL"/>
    </w:rPr>
  </w:style>
  <w:style w:type="paragraph" w:styleId="Tekstdymka">
    <w:name w:val="Balloon Text"/>
    <w:basedOn w:val="Normalny"/>
    <w:link w:val="TekstdymkaZnak"/>
    <w:uiPriority w:val="99"/>
    <w:semiHidden/>
    <w:unhideWhenUsed/>
    <w:rsid w:val="0031356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3568"/>
    <w:rPr>
      <w:rFonts w:ascii="Tahoma" w:hAnsi="Tahoma" w:cs="Tahoma"/>
      <w:sz w:val="16"/>
      <w:szCs w:val="16"/>
    </w:rPr>
  </w:style>
  <w:style w:type="paragraph" w:styleId="NormalnyWeb">
    <w:name w:val="Normal (Web)"/>
    <w:basedOn w:val="Normalny"/>
    <w:uiPriority w:val="99"/>
    <w:semiHidden/>
    <w:unhideWhenUsed/>
    <w:rsid w:val="00B94D4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19516C"/>
    <w:rPr>
      <w:rFonts w:ascii="Times New Roman" w:eastAsia="Times New Roman" w:hAnsi="Times New Roman" w:cs="Times New Roman"/>
      <w:b/>
      <w:caps/>
      <w:snapToGrid w:val="0"/>
      <w:kern w:val="28"/>
      <w:position w:val="-10"/>
      <w:sz w:val="26"/>
      <w:szCs w:val="20"/>
      <w:lang w:eastAsia="pl-PL"/>
    </w:rPr>
  </w:style>
  <w:style w:type="paragraph" w:styleId="Tekstprzypisudolnego">
    <w:name w:val="footnote text"/>
    <w:basedOn w:val="Normalny"/>
    <w:link w:val="TekstprzypisudolnegoZnak"/>
    <w:uiPriority w:val="99"/>
    <w:rsid w:val="0031513B"/>
    <w:pPr>
      <w:tabs>
        <w:tab w:val="right" w:pos="284"/>
        <w:tab w:val="left" w:pos="408"/>
        <w:tab w:val="left" w:pos="709"/>
      </w:tabs>
      <w:spacing w:after="0" w:line="240" w:lineRule="auto"/>
      <w:ind w:right="28"/>
      <w:jc w:val="both"/>
    </w:pPr>
    <w:rPr>
      <w:rFonts w:ascii="Tms Rmn" w:eastAsia="Times New Roman" w:hAnsi="Tms Rmn" w:cs="Times New Roman"/>
      <w:color w:val="000000"/>
      <w:sz w:val="20"/>
      <w:szCs w:val="20"/>
      <w:lang w:val="en-US"/>
    </w:rPr>
  </w:style>
  <w:style w:type="character" w:customStyle="1" w:styleId="TekstprzypisudolnegoZnak">
    <w:name w:val="Tekst przypisu dolnego Znak"/>
    <w:basedOn w:val="Domylnaczcionkaakapitu"/>
    <w:link w:val="Tekstprzypisudolnego"/>
    <w:uiPriority w:val="99"/>
    <w:rsid w:val="0031513B"/>
    <w:rPr>
      <w:rFonts w:ascii="Tms Rmn" w:eastAsia="Times New Roman" w:hAnsi="Tms Rmn" w:cs="Times New Roman"/>
      <w:color w:val="000000"/>
      <w:sz w:val="20"/>
      <w:szCs w:val="20"/>
      <w:lang w:val="en-US"/>
    </w:rPr>
  </w:style>
  <w:style w:type="character" w:styleId="Odwoanieprzypisudolnego">
    <w:name w:val="footnote reference"/>
    <w:uiPriority w:val="99"/>
    <w:semiHidden/>
    <w:rsid w:val="0031513B"/>
    <w:rPr>
      <w:vertAlign w:val="superscript"/>
    </w:rPr>
  </w:style>
  <w:style w:type="character" w:styleId="Odwoaniedokomentarza">
    <w:name w:val="annotation reference"/>
    <w:basedOn w:val="Domylnaczcionkaakapitu"/>
    <w:uiPriority w:val="99"/>
    <w:semiHidden/>
    <w:unhideWhenUsed/>
    <w:rsid w:val="00922421"/>
    <w:rPr>
      <w:sz w:val="16"/>
      <w:szCs w:val="16"/>
    </w:rPr>
  </w:style>
  <w:style w:type="paragraph" w:styleId="Tekstkomentarza">
    <w:name w:val="annotation text"/>
    <w:basedOn w:val="Normalny"/>
    <w:link w:val="TekstkomentarzaZnak"/>
    <w:uiPriority w:val="99"/>
    <w:unhideWhenUsed/>
    <w:rsid w:val="00922421"/>
    <w:pPr>
      <w:spacing w:line="240" w:lineRule="auto"/>
    </w:pPr>
    <w:rPr>
      <w:sz w:val="20"/>
      <w:szCs w:val="20"/>
    </w:rPr>
  </w:style>
  <w:style w:type="character" w:customStyle="1" w:styleId="TekstkomentarzaZnak">
    <w:name w:val="Tekst komentarza Znak"/>
    <w:basedOn w:val="Domylnaczcionkaakapitu"/>
    <w:link w:val="Tekstkomentarza"/>
    <w:uiPriority w:val="99"/>
    <w:rsid w:val="00922421"/>
    <w:rPr>
      <w:sz w:val="20"/>
      <w:szCs w:val="20"/>
    </w:rPr>
  </w:style>
  <w:style w:type="paragraph" w:styleId="Tematkomentarza">
    <w:name w:val="annotation subject"/>
    <w:basedOn w:val="Tekstkomentarza"/>
    <w:next w:val="Tekstkomentarza"/>
    <w:link w:val="TematkomentarzaZnak"/>
    <w:uiPriority w:val="99"/>
    <w:semiHidden/>
    <w:unhideWhenUsed/>
    <w:rsid w:val="00922421"/>
    <w:rPr>
      <w:b/>
      <w:bCs/>
    </w:rPr>
  </w:style>
  <w:style w:type="character" w:customStyle="1" w:styleId="TematkomentarzaZnak">
    <w:name w:val="Temat komentarza Znak"/>
    <w:basedOn w:val="TekstkomentarzaZnak"/>
    <w:link w:val="Tematkomentarza"/>
    <w:uiPriority w:val="99"/>
    <w:semiHidden/>
    <w:rsid w:val="00922421"/>
    <w:rPr>
      <w:b/>
      <w:bCs/>
      <w:sz w:val="20"/>
      <w:szCs w:val="20"/>
    </w:rPr>
  </w:style>
  <w:style w:type="paragraph" w:styleId="Poprawka">
    <w:name w:val="Revision"/>
    <w:hidden/>
    <w:uiPriority w:val="99"/>
    <w:semiHidden/>
    <w:rsid w:val="00922421"/>
    <w:pPr>
      <w:spacing w:after="0" w:line="240" w:lineRule="auto"/>
    </w:pPr>
  </w:style>
  <w:style w:type="paragraph" w:customStyle="1" w:styleId="Default">
    <w:name w:val="Default"/>
    <w:qFormat/>
    <w:rsid w:val="008F084B"/>
    <w:pPr>
      <w:autoSpaceDE w:val="0"/>
      <w:autoSpaceDN w:val="0"/>
      <w:adjustRightInd w:val="0"/>
      <w:spacing w:after="0" w:line="240" w:lineRule="auto"/>
    </w:pPr>
    <w:rPr>
      <w:rFonts w:ascii="Segoe UI" w:hAnsi="Segoe UI" w:cs="Segoe UI"/>
      <w:color w:val="000000"/>
      <w:sz w:val="24"/>
      <w:szCs w:val="24"/>
    </w:rPr>
  </w:style>
  <w:style w:type="table" w:customStyle="1" w:styleId="Tabela-Siatka3">
    <w:name w:val="Tabela - Siatka3"/>
    <w:basedOn w:val="Standardowy"/>
    <w:next w:val="Tabela-Siatka"/>
    <w:uiPriority w:val="59"/>
    <w:rsid w:val="008F0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8F0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71E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1E8E"/>
  </w:style>
  <w:style w:type="paragraph" w:styleId="Stopka">
    <w:name w:val="footer"/>
    <w:basedOn w:val="Normalny"/>
    <w:link w:val="StopkaZnak"/>
    <w:uiPriority w:val="99"/>
    <w:unhideWhenUsed/>
    <w:rsid w:val="00C71E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1E8E"/>
  </w:style>
  <w:style w:type="character" w:styleId="Wyrnienieintensywne">
    <w:name w:val="Intense Emphasis"/>
    <w:basedOn w:val="Domylnaczcionkaakapitu"/>
    <w:uiPriority w:val="21"/>
    <w:qFormat/>
    <w:rsid w:val="00B34AE8"/>
    <w:rPr>
      <w:i/>
      <w:iCs/>
      <w:color w:val="4F81BD" w:themeColor="accent1"/>
    </w:rPr>
  </w:style>
  <w:style w:type="character" w:customStyle="1" w:styleId="Nagwek3Znak">
    <w:name w:val="Nagłówek 3 Znak"/>
    <w:basedOn w:val="Domylnaczcionkaakapitu"/>
    <w:link w:val="Nagwek3"/>
    <w:uiPriority w:val="9"/>
    <w:semiHidden/>
    <w:rsid w:val="006B19B6"/>
    <w:rPr>
      <w:rFonts w:asciiTheme="majorHAnsi" w:eastAsiaTheme="majorEastAsia" w:hAnsiTheme="majorHAnsi" w:cstheme="majorBidi"/>
      <w:color w:val="243F60" w:themeColor="accent1" w:themeShade="7F"/>
      <w:sz w:val="24"/>
      <w:szCs w:val="24"/>
    </w:rPr>
  </w:style>
  <w:style w:type="paragraph" w:customStyle="1" w:styleId="Tekstkomentarza1">
    <w:name w:val="Tekst komentarza1"/>
    <w:basedOn w:val="Normalny"/>
    <w:rsid w:val="006B19B6"/>
    <w:pPr>
      <w:suppressAutoHyphens/>
      <w:autoSpaceDE w:val="0"/>
      <w:spacing w:after="0" w:line="264" w:lineRule="auto"/>
      <w:jc w:val="both"/>
    </w:pPr>
    <w:rPr>
      <w:rFonts w:ascii="Times New Roman" w:eastAsia="Times New Roman" w:hAnsi="Times New Roman" w:cs="Times New Roman"/>
      <w:position w:val="-9"/>
      <w:sz w:val="24"/>
      <w:szCs w:val="20"/>
      <w:lang w:eastAsia="pl-PL"/>
    </w:rPr>
  </w:style>
  <w:style w:type="paragraph" w:styleId="Nagwekspisutreci">
    <w:name w:val="TOC Heading"/>
    <w:basedOn w:val="Nagwek1"/>
    <w:next w:val="Normalny"/>
    <w:uiPriority w:val="39"/>
    <w:semiHidden/>
    <w:unhideWhenUsed/>
    <w:qFormat/>
    <w:rsid w:val="00C859D2"/>
    <w:pPr>
      <w:keepLines/>
      <w:pageBreakBefore w:val="0"/>
      <w:autoSpaceDE/>
      <w:autoSpaceDN/>
      <w:adjustRightInd/>
      <w:spacing w:before="240" w:after="0" w:line="276" w:lineRule="auto"/>
      <w:jc w:val="left"/>
      <w:outlineLvl w:val="9"/>
    </w:pPr>
    <w:rPr>
      <w:rFonts w:asciiTheme="majorHAnsi" w:eastAsiaTheme="majorEastAsia" w:hAnsiTheme="majorHAnsi" w:cstheme="majorBidi"/>
      <w:b w:val="0"/>
      <w:caps w:val="0"/>
      <w:snapToGrid/>
      <w:color w:val="365F91" w:themeColor="accent1" w:themeShade="BF"/>
      <w:kern w:val="0"/>
      <w:position w:val="0"/>
      <w:sz w:val="32"/>
      <w:szCs w:val="32"/>
      <w:lang w:eastAsia="en-US"/>
    </w:rPr>
  </w:style>
  <w:style w:type="character" w:styleId="Hipercze">
    <w:name w:val="Hyperlink"/>
    <w:basedOn w:val="Domylnaczcionkaakapitu"/>
    <w:uiPriority w:val="99"/>
    <w:unhideWhenUsed/>
    <w:rsid w:val="00C859D2"/>
    <w:rPr>
      <w:color w:val="0000FF"/>
      <w:u w:val="single"/>
    </w:rPr>
  </w:style>
  <w:style w:type="paragraph" w:styleId="Spistreci2">
    <w:name w:val="toc 2"/>
    <w:basedOn w:val="Normalny"/>
    <w:next w:val="Normalny"/>
    <w:autoRedefine/>
    <w:uiPriority w:val="39"/>
    <w:unhideWhenUsed/>
    <w:qFormat/>
    <w:rsid w:val="00C859D2"/>
    <w:pPr>
      <w:spacing w:after="100" w:line="240" w:lineRule="auto"/>
      <w:ind w:left="200"/>
    </w:pPr>
    <w:rPr>
      <w:rFonts w:ascii="Times New Roman" w:eastAsia="Times New Roman" w:hAnsi="Times New Roman" w:cs="Times New Roman"/>
      <w:sz w:val="20"/>
      <w:szCs w:val="20"/>
      <w:lang w:eastAsia="zh-CN"/>
    </w:rPr>
  </w:style>
  <w:style w:type="character" w:customStyle="1" w:styleId="Nagwek2Znak">
    <w:name w:val="Nagłówek 2 Znak"/>
    <w:basedOn w:val="Domylnaczcionkaakapitu"/>
    <w:link w:val="Nagwek2"/>
    <w:rsid w:val="00C859D2"/>
    <w:rPr>
      <w:rFonts w:ascii="Times New Roman" w:eastAsia="Times New Roman" w:hAnsi="Times New Roman" w:cs="Times New Roman"/>
      <w:b/>
      <w:bCs/>
      <w:sz w:val="24"/>
      <w:szCs w:val="24"/>
      <w:lang w:eastAsia="zh-CN"/>
    </w:rPr>
  </w:style>
  <w:style w:type="paragraph" w:styleId="Tekstpodstawowywcity2">
    <w:name w:val="Body Text Indent 2"/>
    <w:basedOn w:val="Normalny"/>
    <w:link w:val="Tekstpodstawowywcity2Znak"/>
    <w:uiPriority w:val="99"/>
    <w:unhideWhenUsed/>
    <w:rsid w:val="00CD6A5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CD6A58"/>
  </w:style>
  <w:style w:type="paragraph" w:customStyle="1" w:styleId="Zawartoramki">
    <w:name w:val="Zawartość ramki"/>
    <w:basedOn w:val="Normalny"/>
    <w:qFormat/>
    <w:rsid w:val="006753F1"/>
    <w:pPr>
      <w:suppressAutoHyphens/>
    </w:pPr>
    <w:rPr>
      <w:rFonts w:ascii="Calibri" w:eastAsia="Calibri" w:hAnsi="Calibri" w:cs="Times New Roman"/>
    </w:rPr>
  </w:style>
  <w:style w:type="character" w:customStyle="1" w:styleId="Nagwek8Znak">
    <w:name w:val="Nagłówek 8 Znak"/>
    <w:basedOn w:val="Domylnaczcionkaakapitu"/>
    <w:link w:val="Nagwek8"/>
    <w:uiPriority w:val="9"/>
    <w:semiHidden/>
    <w:rsid w:val="00D93B96"/>
    <w:rPr>
      <w:rFonts w:asciiTheme="majorHAnsi" w:eastAsiaTheme="majorEastAsia" w:hAnsiTheme="majorHAnsi" w:cstheme="majorBidi"/>
      <w:color w:val="272727" w:themeColor="text1" w:themeTint="D8"/>
      <w:sz w:val="21"/>
      <w:szCs w:val="21"/>
    </w:rPr>
  </w:style>
  <w:style w:type="table" w:customStyle="1" w:styleId="TableGrid">
    <w:name w:val="TableGrid"/>
    <w:rsid w:val="00565713"/>
    <w:pPr>
      <w:spacing w:after="0" w:line="240" w:lineRule="auto"/>
    </w:pPr>
    <w:rPr>
      <w:rFonts w:eastAsiaTheme="minorEastAsia"/>
      <w:kern w:val="2"/>
      <w:sz w:val="24"/>
      <w:szCs w:val="24"/>
      <w:lang w:eastAsia="pl-P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0392">
      <w:bodyDiv w:val="1"/>
      <w:marLeft w:val="0"/>
      <w:marRight w:val="0"/>
      <w:marTop w:val="0"/>
      <w:marBottom w:val="0"/>
      <w:divBdr>
        <w:top w:val="none" w:sz="0" w:space="0" w:color="auto"/>
        <w:left w:val="none" w:sz="0" w:space="0" w:color="auto"/>
        <w:bottom w:val="none" w:sz="0" w:space="0" w:color="auto"/>
        <w:right w:val="none" w:sz="0" w:space="0" w:color="auto"/>
      </w:divBdr>
    </w:div>
    <w:div w:id="135102003">
      <w:bodyDiv w:val="1"/>
      <w:marLeft w:val="0"/>
      <w:marRight w:val="0"/>
      <w:marTop w:val="0"/>
      <w:marBottom w:val="0"/>
      <w:divBdr>
        <w:top w:val="none" w:sz="0" w:space="0" w:color="auto"/>
        <w:left w:val="none" w:sz="0" w:space="0" w:color="auto"/>
        <w:bottom w:val="none" w:sz="0" w:space="0" w:color="auto"/>
        <w:right w:val="none" w:sz="0" w:space="0" w:color="auto"/>
      </w:divBdr>
    </w:div>
    <w:div w:id="375198026">
      <w:bodyDiv w:val="1"/>
      <w:marLeft w:val="0"/>
      <w:marRight w:val="0"/>
      <w:marTop w:val="0"/>
      <w:marBottom w:val="0"/>
      <w:divBdr>
        <w:top w:val="none" w:sz="0" w:space="0" w:color="auto"/>
        <w:left w:val="none" w:sz="0" w:space="0" w:color="auto"/>
        <w:bottom w:val="none" w:sz="0" w:space="0" w:color="auto"/>
        <w:right w:val="none" w:sz="0" w:space="0" w:color="auto"/>
      </w:divBdr>
    </w:div>
    <w:div w:id="717124895">
      <w:bodyDiv w:val="1"/>
      <w:marLeft w:val="0"/>
      <w:marRight w:val="0"/>
      <w:marTop w:val="0"/>
      <w:marBottom w:val="0"/>
      <w:divBdr>
        <w:top w:val="none" w:sz="0" w:space="0" w:color="auto"/>
        <w:left w:val="none" w:sz="0" w:space="0" w:color="auto"/>
        <w:bottom w:val="none" w:sz="0" w:space="0" w:color="auto"/>
        <w:right w:val="none" w:sz="0" w:space="0" w:color="auto"/>
      </w:divBdr>
    </w:div>
    <w:div w:id="842817188">
      <w:bodyDiv w:val="1"/>
      <w:marLeft w:val="0"/>
      <w:marRight w:val="0"/>
      <w:marTop w:val="0"/>
      <w:marBottom w:val="0"/>
      <w:divBdr>
        <w:top w:val="none" w:sz="0" w:space="0" w:color="auto"/>
        <w:left w:val="none" w:sz="0" w:space="0" w:color="auto"/>
        <w:bottom w:val="none" w:sz="0" w:space="0" w:color="auto"/>
        <w:right w:val="none" w:sz="0" w:space="0" w:color="auto"/>
      </w:divBdr>
    </w:div>
    <w:div w:id="937981289">
      <w:bodyDiv w:val="1"/>
      <w:marLeft w:val="0"/>
      <w:marRight w:val="0"/>
      <w:marTop w:val="0"/>
      <w:marBottom w:val="0"/>
      <w:divBdr>
        <w:top w:val="none" w:sz="0" w:space="0" w:color="auto"/>
        <w:left w:val="none" w:sz="0" w:space="0" w:color="auto"/>
        <w:bottom w:val="none" w:sz="0" w:space="0" w:color="auto"/>
        <w:right w:val="none" w:sz="0" w:space="0" w:color="auto"/>
      </w:divBdr>
    </w:div>
    <w:div w:id="1224178799">
      <w:bodyDiv w:val="1"/>
      <w:marLeft w:val="0"/>
      <w:marRight w:val="0"/>
      <w:marTop w:val="0"/>
      <w:marBottom w:val="0"/>
      <w:divBdr>
        <w:top w:val="none" w:sz="0" w:space="0" w:color="auto"/>
        <w:left w:val="none" w:sz="0" w:space="0" w:color="auto"/>
        <w:bottom w:val="none" w:sz="0" w:space="0" w:color="auto"/>
        <w:right w:val="none" w:sz="0" w:space="0" w:color="auto"/>
      </w:divBdr>
    </w:div>
    <w:div w:id="1370303526">
      <w:bodyDiv w:val="1"/>
      <w:marLeft w:val="0"/>
      <w:marRight w:val="0"/>
      <w:marTop w:val="0"/>
      <w:marBottom w:val="0"/>
      <w:divBdr>
        <w:top w:val="none" w:sz="0" w:space="0" w:color="auto"/>
        <w:left w:val="none" w:sz="0" w:space="0" w:color="auto"/>
        <w:bottom w:val="none" w:sz="0" w:space="0" w:color="auto"/>
        <w:right w:val="none" w:sz="0" w:space="0" w:color="auto"/>
      </w:divBdr>
    </w:div>
    <w:div w:id="19940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g"/><Relationship Id="rId42" Type="http://schemas.openxmlformats.org/officeDocument/2006/relationships/image" Target="media/image36.jpg"/><Relationship Id="rId47" Type="http://schemas.openxmlformats.org/officeDocument/2006/relationships/image" Target="media/image41.jpg"/><Relationship Id="rId63" Type="http://schemas.openxmlformats.org/officeDocument/2006/relationships/image" Target="media/image57.jpg"/><Relationship Id="rId68" Type="http://schemas.openxmlformats.org/officeDocument/2006/relationships/image" Target="media/image62.jpg"/><Relationship Id="rId84" Type="http://schemas.openxmlformats.org/officeDocument/2006/relationships/fontTable" Target="fontTable.xml"/><Relationship Id="rId16" Type="http://schemas.openxmlformats.org/officeDocument/2006/relationships/image" Target="media/image10.jpg"/><Relationship Id="rId11" Type="http://schemas.openxmlformats.org/officeDocument/2006/relationships/image" Target="media/image5.jpg"/><Relationship Id="rId32" Type="http://schemas.openxmlformats.org/officeDocument/2006/relationships/image" Target="media/image26.jpg"/><Relationship Id="rId37" Type="http://schemas.openxmlformats.org/officeDocument/2006/relationships/image" Target="media/image31.jpg"/><Relationship Id="rId53" Type="http://schemas.openxmlformats.org/officeDocument/2006/relationships/image" Target="media/image47.jpg"/><Relationship Id="rId58" Type="http://schemas.openxmlformats.org/officeDocument/2006/relationships/image" Target="media/image52.jpg"/><Relationship Id="rId74" Type="http://schemas.openxmlformats.org/officeDocument/2006/relationships/image" Target="media/image68.jpg"/><Relationship Id="rId79" Type="http://schemas.openxmlformats.org/officeDocument/2006/relationships/image" Target="media/image73.jpg"/><Relationship Id="rId5" Type="http://schemas.openxmlformats.org/officeDocument/2006/relationships/webSettings" Target="webSettings.xml"/><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56" Type="http://schemas.openxmlformats.org/officeDocument/2006/relationships/image" Target="media/image50.jpg"/><Relationship Id="rId64" Type="http://schemas.openxmlformats.org/officeDocument/2006/relationships/image" Target="media/image58.jpg"/><Relationship Id="rId69" Type="http://schemas.openxmlformats.org/officeDocument/2006/relationships/image" Target="media/image63.jpg"/><Relationship Id="rId77" Type="http://schemas.openxmlformats.org/officeDocument/2006/relationships/image" Target="media/image71.jpg"/><Relationship Id="rId8" Type="http://schemas.openxmlformats.org/officeDocument/2006/relationships/image" Target="media/image2.png"/><Relationship Id="rId51" Type="http://schemas.openxmlformats.org/officeDocument/2006/relationships/image" Target="media/image45.jpg"/><Relationship Id="rId72" Type="http://schemas.openxmlformats.org/officeDocument/2006/relationships/image" Target="media/image66.jpg"/><Relationship Id="rId80" Type="http://schemas.openxmlformats.org/officeDocument/2006/relationships/image" Target="media/image74.jp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jpg"/><Relationship Id="rId67" Type="http://schemas.openxmlformats.org/officeDocument/2006/relationships/image" Target="media/image61.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image" Target="media/image56.jpg"/><Relationship Id="rId70" Type="http://schemas.openxmlformats.org/officeDocument/2006/relationships/image" Target="media/image64.jpg"/><Relationship Id="rId75" Type="http://schemas.openxmlformats.org/officeDocument/2006/relationships/image" Target="media/image69.jp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image" Target="media/image54.jpg"/><Relationship Id="rId65" Type="http://schemas.openxmlformats.org/officeDocument/2006/relationships/image" Target="media/image59.jpg"/><Relationship Id="rId73" Type="http://schemas.openxmlformats.org/officeDocument/2006/relationships/image" Target="media/image67.jpg"/><Relationship Id="rId78" Type="http://schemas.openxmlformats.org/officeDocument/2006/relationships/image" Target="media/image72.jpg"/><Relationship Id="rId81" Type="http://schemas.openxmlformats.org/officeDocument/2006/relationships/image" Target="media/image75.jpg"/><Relationship Id="rId4" Type="http://schemas.openxmlformats.org/officeDocument/2006/relationships/settings" Target="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g"/><Relationship Id="rId34" Type="http://schemas.openxmlformats.org/officeDocument/2006/relationships/image" Target="media/image28.jpg"/><Relationship Id="rId50" Type="http://schemas.openxmlformats.org/officeDocument/2006/relationships/image" Target="media/image44.jpg"/><Relationship Id="rId55" Type="http://schemas.openxmlformats.org/officeDocument/2006/relationships/image" Target="media/image49.jpg"/><Relationship Id="rId76" Type="http://schemas.openxmlformats.org/officeDocument/2006/relationships/image" Target="media/image70.jpg"/><Relationship Id="rId7" Type="http://schemas.openxmlformats.org/officeDocument/2006/relationships/endnotes" Target="endnotes.xml"/><Relationship Id="rId71" Type="http://schemas.openxmlformats.org/officeDocument/2006/relationships/image" Target="media/image65.jpg"/><Relationship Id="rId2" Type="http://schemas.openxmlformats.org/officeDocument/2006/relationships/numbering" Target="numbering.xml"/><Relationship Id="rId29" Type="http://schemas.openxmlformats.org/officeDocument/2006/relationships/image" Target="media/image23.jpg"/><Relationship Id="rId24" Type="http://schemas.openxmlformats.org/officeDocument/2006/relationships/image" Target="media/image18.jpg"/><Relationship Id="rId40" Type="http://schemas.openxmlformats.org/officeDocument/2006/relationships/image" Target="media/image34.jpg"/><Relationship Id="rId45" Type="http://schemas.openxmlformats.org/officeDocument/2006/relationships/image" Target="media/image39.jpg"/><Relationship Id="rId66" Type="http://schemas.openxmlformats.org/officeDocument/2006/relationships/image" Target="media/image60.jpg"/><Relationship Id="rId61" Type="http://schemas.openxmlformats.org/officeDocument/2006/relationships/image" Target="media/image55.jpg"/><Relationship Id="rId82" Type="http://schemas.openxmlformats.org/officeDocument/2006/relationships/image" Target="media/image76.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6DEB4-EE0F-4ABE-9AFF-17EA012AA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31</Pages>
  <Words>8258</Words>
  <Characters>49552</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Bajka</dc:creator>
  <cp:keywords/>
  <dc:description/>
  <cp:lastModifiedBy>Sabina Duraj</cp:lastModifiedBy>
  <cp:revision>4</cp:revision>
  <cp:lastPrinted>2026-06-10T13:19:00Z</cp:lastPrinted>
  <dcterms:created xsi:type="dcterms:W3CDTF">2026-06-17T08:46:00Z</dcterms:created>
  <dcterms:modified xsi:type="dcterms:W3CDTF">2026-07-09T12:06:00Z</dcterms:modified>
</cp:coreProperties>
</file>